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AD" w:rsidRDefault="00E62EAD" w:rsidP="00E6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D2377" w:rsidRDefault="00BD2377" w:rsidP="00E6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EAD" w:rsidRDefault="00E62EAD" w:rsidP="00E6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DE">
        <w:rPr>
          <w:rFonts w:ascii="Times New Roman" w:hAnsi="Times New Roman" w:cs="Times New Roman"/>
          <w:b/>
          <w:sz w:val="28"/>
          <w:szCs w:val="28"/>
        </w:rPr>
        <w:t>«Государственная политика развития реального сектора экономики»</w:t>
      </w:r>
    </w:p>
    <w:p w:rsidR="00E62EAD" w:rsidRDefault="00E62EAD" w:rsidP="00E62EAD">
      <w:pPr>
        <w:spacing w:after="120" w:line="240" w:lineRule="auto"/>
        <w:jc w:val="center"/>
      </w:pPr>
    </w:p>
    <w:p w:rsidR="00BD2377" w:rsidRDefault="00E62EAD" w:rsidP="00E62E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237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D237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54308" w:rsidRPr="007543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BD237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E62EAD" w:rsidRDefault="00E62EAD" w:rsidP="00E62E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BD23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«Государственная политика развития реального сектора экономики»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D237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BD237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BD237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</w:p>
    <w:p w:rsidR="00BD2377" w:rsidRDefault="00BD2377" w:rsidP="00E62E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E62EAD" w:rsidRPr="004B07F1" w:rsidRDefault="00E62EAD" w:rsidP="00E62E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82112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Государственная политика развития реального сектора экономики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» является дисциплиной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выбору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BD2377">
        <w:rPr>
          <w:rFonts w:ascii="Times New Roman" w:eastAsia="Calibri" w:hAnsi="Times New Roman" w:cs="Times New Roman"/>
          <w:sz w:val="28"/>
          <w:szCs w:val="28"/>
          <w:lang w:eastAsia="ar-SA"/>
        </w:rPr>
        <w:t>профильного блока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BD2377">
        <w:rPr>
          <w:rFonts w:ascii="Times New Roman" w:eastAsia="Calibri" w:hAnsi="Times New Roman" w:cs="Times New Roman"/>
          <w:sz w:val="28"/>
          <w:szCs w:val="28"/>
        </w:rPr>
        <w:t>,</w:t>
      </w:r>
      <w:r w:rsidR="00BD2377" w:rsidRP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D237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</w:t>
      </w:r>
    </w:p>
    <w:p w:rsidR="00E62EAD" w:rsidRPr="00552EDE" w:rsidRDefault="00E62EAD" w:rsidP="00E62EA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552E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Default="00E62EAD" w:rsidP="00BD2377">
      <w:pPr>
        <w:spacing w:after="0" w:line="240" w:lineRule="auto"/>
        <w:jc w:val="both"/>
      </w:pP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Теоретические и методологические аспекты социально- экономической политики государства. Потенциал социально-экономического развития современной России. Теория и методология формирования социально- экономической политики государства. Социальная политика государства в ближайшей и долгосрочной перспективе. Новая политика государства в социальном секторе современной России. Основные направления социальной политики государства в средне- и долгосрочной перспективе в области доходов и занятости населения. Экономическая политика государства как инструмент модернизации российской экономики в средне- и долгосрочной перспективе. Государственная структурно-инвестиционная политика в условиях модернизации российской экономики. Государственная политика в 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сфере реального сектора экономики и механизмы ее реализации. Новая парадигма денежно-кредитной и валютной политики и стратегия развития финансового сектора страны. Внешнеэкономическая политика современной России в условиях смены внешнеэкономических приоритетов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62EAD"/>
    <w:rsid w:val="003240A7"/>
    <w:rsid w:val="006D5244"/>
    <w:rsid w:val="00754308"/>
    <w:rsid w:val="00984819"/>
    <w:rsid w:val="00BD2377"/>
    <w:rsid w:val="00E177FD"/>
    <w:rsid w:val="00E62EA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DC2D0D-969A-4EA5-A86D-06E9BA01690D}"/>
</file>

<file path=customXml/itemProps2.xml><?xml version="1.0" encoding="utf-8"?>
<ds:datastoreItem xmlns:ds="http://schemas.openxmlformats.org/officeDocument/2006/customXml" ds:itemID="{F5D41D4E-6D8B-4DD2-AC02-2DD1CB726613}"/>
</file>

<file path=customXml/itemProps3.xml><?xml version="1.0" encoding="utf-8"?>
<ds:datastoreItem xmlns:ds="http://schemas.openxmlformats.org/officeDocument/2006/customXml" ds:itemID="{DF4037DB-E65C-4D01-BBCB-D9985BA01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2326</Characters>
  <Application>Microsoft Office Word</Application>
  <DocSecurity>0</DocSecurity>
  <Lines>19</Lines>
  <Paragraphs>5</Paragraphs>
  <ScaleCrop>false</ScaleCrop>
  <Company>Дом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2017-03-11T16:27:00Z</dcterms:created>
  <dcterms:modified xsi:type="dcterms:W3CDTF">2018-04-14T09:19:00Z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