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32" w:rsidRPr="00F06F95" w:rsidRDefault="00CD6C32" w:rsidP="00CD6C32">
      <w:pPr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Примерный перечень вопросов и практико-ориентированных заданий к государственному экзамену для студентов заочной формы обучения, обучающихся по направлению </w:t>
      </w:r>
      <w:r w:rsidR="009C6662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подготовки </w:t>
      </w:r>
      <w:bookmarkStart w:id="0" w:name="_GoBack"/>
      <w:bookmarkEnd w:id="0"/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38.0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4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1 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«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Экономика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», </w:t>
      </w:r>
    </w:p>
    <w:p w:rsidR="00CD6C32" w:rsidRDefault="00CD6C32" w:rsidP="00CD6C32">
      <w:pPr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направленность программы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магистратуры</w:t>
      </w:r>
    </w:p>
    <w:p w:rsidR="00CD6C32" w:rsidRPr="00F06F95" w:rsidRDefault="00CD6C32" w:rsidP="00CD6C32">
      <w:pPr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«</w:t>
      </w:r>
      <w:r w:rsidRPr="00CD6C32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>Оценка бизнеса и корпоративные финансы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»</w:t>
      </w:r>
    </w:p>
    <w:p w:rsidR="00CD6C32" w:rsidRPr="00F06F95" w:rsidRDefault="00CD6C32" w:rsidP="00CD6C32">
      <w:pPr>
        <w:ind w:firstLine="0"/>
        <w:jc w:val="center"/>
        <w:rPr>
          <w:sz w:val="14"/>
          <w:lang w:val="ru-RU"/>
        </w:rPr>
      </w:pPr>
    </w:p>
    <w:p w:rsidR="00CD6C32" w:rsidRPr="00F06F95" w:rsidRDefault="00CD6C32" w:rsidP="00CD6C3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F95">
        <w:rPr>
          <w:rFonts w:ascii="Times New Roman" w:hAnsi="Times New Roman"/>
          <w:b/>
          <w:sz w:val="28"/>
          <w:szCs w:val="28"/>
        </w:rPr>
        <w:t>Вопросы на основе содержания общепрофессиональных и профессиональных дисциплин направления подготовки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1. Экономический рост и экономическое развитие: понятия и содержание, проблема измерения и индикаторы.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2. Технический прогресс и его роль в экономическом развитии: теория цикличного развития, концепция технологических укладов.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3. Периодизация промышленных революций, сущность и особенности «четвертой промышленной революции».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4. Смена технологических укладов в процессе долгосрочного развития мировой и российской экономик.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5. Ядро и ключевой фактор технологического уклада. Шестой технологический уклад.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6. Технологические инновации и социальные изменения. Инновационный процесс как творческое разрушение, преодоление силы инерции и сопротивления среды.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7. Основы теории экономического развития Й. </w:t>
      </w:r>
      <w:proofErr w:type="spellStart"/>
      <w:r w:rsidRPr="00CD6C32">
        <w:rPr>
          <w:sz w:val="28"/>
          <w:szCs w:val="20"/>
        </w:rPr>
        <w:t>Шумпетера</w:t>
      </w:r>
      <w:proofErr w:type="spellEnd"/>
      <w:r w:rsidRPr="00CD6C32">
        <w:rPr>
          <w:sz w:val="28"/>
          <w:szCs w:val="20"/>
        </w:rPr>
        <w:t xml:space="preserve">, включая его взгляды на предпринимательство и инновации.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8. Информация и знания в социально-экономическом развитии общества. Экономика знаний. Интеллектуальный капитал в экономическом росте страны.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9. Применения цифровых технологий в управлении развитием экономики.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10. Роль государства в обеспечении инноваций, условия и инфраструктура инновационной деятельности.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11. Модель эндогенного развития экономики, технологии и роста населения.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12. Модель эндогенного роста с накоплением человеческого капитала (модель Лукаса): основные предпосылки модели; сектор производства и сектор образования в модели; анализ накопления человеческого капитала; сбалансированный рост.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13. Концепция перехода к самоподдерживающемуся росту У. </w:t>
      </w:r>
      <w:proofErr w:type="spellStart"/>
      <w:r w:rsidRPr="00CD6C32">
        <w:rPr>
          <w:sz w:val="28"/>
          <w:szCs w:val="20"/>
        </w:rPr>
        <w:t>Ростоу</w:t>
      </w:r>
      <w:proofErr w:type="spellEnd"/>
      <w:r w:rsidRPr="00CD6C32">
        <w:rPr>
          <w:sz w:val="28"/>
          <w:szCs w:val="20"/>
        </w:rPr>
        <w:t xml:space="preserve">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14. Кейнсианская теория "порочного круга нищеты" Х. </w:t>
      </w:r>
      <w:proofErr w:type="spellStart"/>
      <w:r w:rsidRPr="00CD6C32">
        <w:rPr>
          <w:sz w:val="28"/>
          <w:szCs w:val="20"/>
        </w:rPr>
        <w:t>Лейбенстайна</w:t>
      </w:r>
      <w:proofErr w:type="spellEnd"/>
      <w:r w:rsidRPr="00CD6C32">
        <w:rPr>
          <w:sz w:val="28"/>
          <w:szCs w:val="20"/>
        </w:rPr>
        <w:t xml:space="preserve">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15. Предпосылки и основное содержание модели экономического роста </w:t>
      </w:r>
      <w:proofErr w:type="spellStart"/>
      <w:r w:rsidRPr="00CD6C32">
        <w:rPr>
          <w:sz w:val="28"/>
          <w:szCs w:val="20"/>
        </w:rPr>
        <w:t>Солоу</w:t>
      </w:r>
      <w:proofErr w:type="spellEnd"/>
      <w:r w:rsidRPr="00CD6C32">
        <w:rPr>
          <w:sz w:val="28"/>
          <w:szCs w:val="20"/>
        </w:rPr>
        <w:t xml:space="preserve">. Роль сбережений, инвестиций, демографических изменений и технического прогресса.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16. Институты и структура стимулов экономического роста. Устойчивые права собственности и «длинные правила» как условие роста.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lastRenderedPageBreak/>
        <w:t xml:space="preserve">17. Эксклюзивные и инклюзивные экономические институты, и их влияние на экономический рост. Распределение экономической власти и источники доходов.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18. Раскройте понятия «институциональная ловушка», «импорт» и «выращивание» институтов.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19. Экономическая природа институтов и их роль как условия экономического роста.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20. Проблема взаимодействия технологий и институтов, их роль в создании условий инновационной деятельности.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21. Сравнительный анализ шоковой терапии и градуализма как двух стратегий экономических реформ.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22. Влияние человеческого капитала на экономическое развитие. Национальный и индивидуальный человеческий капитал. Человеческий капитал как главный фактор инновационной экономики.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23. Культурные, психологические и социальные факторы экономического роста. Культурное разнообразия (этническое, лингвистическое, религиозное) и экономическое развитие. Культурный капитал.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24. Программы экономического роста в современной России.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25. Проблемы инноваций и феномена предпринимательства в нашей стране в современных условиях. </w:t>
      </w:r>
    </w:p>
    <w:p w:rsidR="00CD6C32" w:rsidRDefault="00CD6C32" w:rsidP="00CD6C32">
      <w:pPr>
        <w:pStyle w:val="Default"/>
        <w:jc w:val="center"/>
        <w:rPr>
          <w:b/>
          <w:bCs/>
          <w:sz w:val="28"/>
          <w:szCs w:val="20"/>
        </w:rPr>
      </w:pPr>
    </w:p>
    <w:p w:rsidR="00CD6C32" w:rsidRDefault="00CD6C32" w:rsidP="00CD6C32">
      <w:pPr>
        <w:pStyle w:val="Default"/>
        <w:jc w:val="center"/>
        <w:rPr>
          <w:b/>
          <w:bCs/>
          <w:sz w:val="28"/>
          <w:szCs w:val="20"/>
        </w:rPr>
      </w:pPr>
      <w:r w:rsidRPr="00CD6C32">
        <w:rPr>
          <w:b/>
          <w:bCs/>
          <w:sz w:val="28"/>
          <w:szCs w:val="20"/>
        </w:rPr>
        <w:t>Вопросы на основе содержания дисциплин магистерской программы «Оценка бизнеса и корпоративные финансы»</w:t>
      </w:r>
    </w:p>
    <w:p w:rsidR="00CD6C32" w:rsidRPr="00CD6C32" w:rsidRDefault="00CD6C32" w:rsidP="00CD6C32">
      <w:pPr>
        <w:pStyle w:val="Default"/>
        <w:jc w:val="center"/>
        <w:rPr>
          <w:sz w:val="28"/>
          <w:szCs w:val="20"/>
        </w:rPr>
      </w:pP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1. Стандарты (виды, базы) стоимости, применяемые в российской и зарубежной практике. Сравнительный анализ рыночной, справедливой и инвестиционной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2. Система сбалансированных показателей и концепция управления стоимостью: сравнительный анализ и особенности применения в корпоративных финансах.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3. Сущность, цели и принципы оценки стоимости бизнеса. Виды стоимости. Субъекты и объекты оценочной деятельности.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4. Эволюция измерения эффективности корпораций: от Модели Дюпона до экономической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5. Соотношение риска и доходности. Концепция эффективности рынка ценных бумаг. Несистематический и систематический риски.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6. Эволюция развития теории стоимости. Концепция стоимости и современные стратегии ценообразования: единство и противоположность.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7. Нормативно-правовая и информационная база стоимостной оценки: содержание, проблемы, направления совершенствования.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8. Понятие и виды денежного потока. Современные технологии прогнозирования и моделирования, определение длительности прогнозного перерода в России.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9. Состав и структура капитала корпорации, взаимосвязь структуры капитала и стоимости бизнеса, критерии структуры капитала корпорации.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lastRenderedPageBreak/>
        <w:t xml:space="preserve">10. Дивидендная политика корпораций: принципы формирования, основные детерминанты, влияние на стоимость корпораций.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11. Проектное финансирование: сущность, принципы, виды и особенности. Влияние состояния финансового рынка на развитие проектного финансирования.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12. Определение ставки дисконтирования. Основные модели. Особенности расчета ставки дисконтирования на российском рынке.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13. Содержание и проблемы формирования корпоративной ценовой политики. Виды ценовых корпоративных стратегий.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14. Финансово-стоимостной анализ бизнеса: Цели, задачи, современные методы и технологии. ESG- показатели в системе индикаторов деятельности корпорации.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15. Модификация оценочной деятельности в цифровой экономике, использование информационных систем и программных продуктов в оценочной деятельности, современный инструментарий стоимостной оценки.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16. Операционная деятельность и ее влияние на формирование экономической добавленной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17. Основные стоимостные показатели, используемые в концепции «Управления стоимостью компании» и их функции.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18. Общая характеристика сравнительного подхода к оценке стоимости бизнеса. Методы сравнительного подхода, преимущества и недостатки, необходимые условия для применения.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19. Интеллектуального капитала корпораций: понятие, состав и структура, принципы и особенности оценки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20. Цифровые активы как объект стоимостной оценки, понятие, классификация, методы и технологии оценки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21. Сравнительный подход к оценке стоимости бизнеса: подбор аналогов, выбор и вычисление ценовых мультипликаторов, характеристика важнейших ценовых мультипликаторов, выведение итоговой величины стоимости.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22. Методы анализа и оценки стоимости финансовых активов: единичных акций, пакетов акций, облигаций, производственных финансовых инструментов.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23. Принципы и методы оценки стоимости объектов недвижимости и земельного участков. Современные технологии оценки стоимости недвижимости.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24. Источники финансирования корпораций состав, характеристика и проблемы их выбора. Формирование уставного капитала корпорации </w:t>
      </w:r>
    </w:p>
    <w:p w:rsidR="00CD6C32" w:rsidRPr="00CD6C32" w:rsidRDefault="00CD6C32" w:rsidP="00CD6C32">
      <w:pPr>
        <w:pStyle w:val="Default"/>
        <w:widowControl w:val="0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25. Подходы и методы оценки стоимости нематериальных активов и интеллектуальной собственности. Особенности применения доходного подхода для оценки рыночной стоимости нематериальных активов. </w:t>
      </w:r>
    </w:p>
    <w:p w:rsidR="00CD6C32" w:rsidRDefault="00CD6C32" w:rsidP="00CD6C32">
      <w:pPr>
        <w:widowControl w:val="0"/>
        <w:rPr>
          <w:sz w:val="28"/>
        </w:rPr>
      </w:pPr>
    </w:p>
    <w:p w:rsidR="00CD6C32" w:rsidRDefault="00CD6C32" w:rsidP="00CD6C32">
      <w:pPr>
        <w:widowControl w:val="0"/>
        <w:rPr>
          <w:sz w:val="28"/>
        </w:rPr>
      </w:pPr>
    </w:p>
    <w:p w:rsidR="00CD6C32" w:rsidRDefault="00CD6C32" w:rsidP="00CD6C32">
      <w:pPr>
        <w:pStyle w:val="Default"/>
        <w:jc w:val="center"/>
        <w:rPr>
          <w:b/>
          <w:bCs/>
          <w:sz w:val="28"/>
          <w:szCs w:val="20"/>
        </w:rPr>
      </w:pPr>
      <w:r w:rsidRPr="00CD6C32">
        <w:rPr>
          <w:b/>
          <w:bCs/>
          <w:sz w:val="28"/>
          <w:szCs w:val="20"/>
        </w:rPr>
        <w:lastRenderedPageBreak/>
        <w:t>Примеры практико-ориентированных заданий</w:t>
      </w:r>
    </w:p>
    <w:p w:rsidR="00CD6C32" w:rsidRDefault="00CD6C32" w:rsidP="00CD6C32">
      <w:pPr>
        <w:pStyle w:val="Default"/>
        <w:jc w:val="center"/>
        <w:rPr>
          <w:b/>
          <w:bCs/>
          <w:sz w:val="28"/>
          <w:szCs w:val="20"/>
        </w:rPr>
      </w:pPr>
    </w:p>
    <w:p w:rsidR="00CD6C32" w:rsidRPr="00CD6C32" w:rsidRDefault="00CD6C32" w:rsidP="00CD6C32">
      <w:pPr>
        <w:pStyle w:val="Default"/>
        <w:rPr>
          <w:sz w:val="28"/>
          <w:szCs w:val="20"/>
        </w:rPr>
      </w:pPr>
      <w:r>
        <w:rPr>
          <w:b/>
          <w:bCs/>
          <w:sz w:val="28"/>
          <w:szCs w:val="20"/>
        </w:rPr>
        <w:t>Задание 1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Открытое акционерное общество «Челябинский трубопрокатный завод» основано 65 лет назад и является одним из крупнейших компаний по производству труб в России. Доля ЧТПЗ в общем объеме производства трубной продукции, выпускаемой в Российской Федерации, составляет около 12%. На ЧТПЗ используются следующие виды производства труб: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горячая прокатка на трубопрокатных </w:t>
      </w:r>
      <w:proofErr w:type="spellStart"/>
      <w:r w:rsidRPr="00CD6C32">
        <w:rPr>
          <w:sz w:val="28"/>
          <w:szCs w:val="20"/>
        </w:rPr>
        <w:t>пилигримовых</w:t>
      </w:r>
      <w:proofErr w:type="spellEnd"/>
      <w:r w:rsidRPr="00CD6C32">
        <w:rPr>
          <w:sz w:val="28"/>
          <w:szCs w:val="20"/>
        </w:rPr>
        <w:t xml:space="preserve"> установках;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горячая прокатка на установке с автоматическим станом;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холодная прокатка труб;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электродуговая сварка </w:t>
      </w:r>
      <w:proofErr w:type="spellStart"/>
      <w:r w:rsidRPr="00CD6C32">
        <w:rPr>
          <w:sz w:val="28"/>
          <w:szCs w:val="20"/>
        </w:rPr>
        <w:t>прямошовных</w:t>
      </w:r>
      <w:proofErr w:type="spellEnd"/>
      <w:r w:rsidRPr="00CD6C32">
        <w:rPr>
          <w:sz w:val="28"/>
          <w:szCs w:val="20"/>
        </w:rPr>
        <w:t xml:space="preserve"> труб под слоем флюса;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непрерывная печная сварка;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• сварка труб токами радиочастоты. </w:t>
      </w:r>
    </w:p>
    <w:p w:rsidR="00CD6C32" w:rsidRPr="00CD6C32" w:rsidRDefault="00CD6C32" w:rsidP="00CD6C32">
      <w:pPr>
        <w:pStyle w:val="Default"/>
        <w:widowControl w:val="0"/>
        <w:ind w:firstLine="709"/>
        <w:jc w:val="both"/>
        <w:rPr>
          <w:sz w:val="28"/>
          <w:szCs w:val="20"/>
        </w:rPr>
      </w:pPr>
      <w:r w:rsidRPr="00CD6C32">
        <w:rPr>
          <w:sz w:val="28"/>
          <w:szCs w:val="20"/>
        </w:rPr>
        <w:t xml:space="preserve">Компанией выпускается свыше 3600 типоразмеров труб из углеродистых, низколегированных легированных, нержавеющих марок стали и различных сплавов. Трубы имеют не только круглое сечение, но и овальные, плоскоовальные, квадратные, прямоугольные и шестигранные профили. </w:t>
      </w:r>
    </w:p>
    <w:p w:rsidR="00CD6C32" w:rsidRPr="00CD6C32" w:rsidRDefault="00CD6C32" w:rsidP="00CD6C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CD6C32">
        <w:rPr>
          <w:rFonts w:ascii="Times New Roman" w:hAnsi="Times New Roman" w:cs="Times New Roman"/>
          <w:sz w:val="28"/>
          <w:szCs w:val="20"/>
        </w:rPr>
        <w:t>Менеджмент завода рассматривает очередной проект по модификации производства продукции. Маркетологи ожидают сохранения конкурентных преимуществ по проекту на отрезке не менее 5 лет. При этом ожидается увеличение</w:t>
      </w:r>
      <w:r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выручки в первый год на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.; во 2-й год на 7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.; 3-й на 10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; 4-й на 15млн.руб; к концу 5-го года на 40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 Сбытовые и производственные издержки уменьшатся на 4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 Административные издержки возрастут на 1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.; запасы сырья возрастут на 10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.; дебиторская задолженность увеличится на 18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.; кредиторская задолженность увеличится на 10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>. Изменение переменных издержек ожидаются пропорционально динамике выручки, постоянных равномерно в течение всего периода.</w:t>
      </w:r>
    </w:p>
    <w:p w:rsidR="00CD6C32" w:rsidRPr="00CD6C32" w:rsidRDefault="00CD6C32" w:rsidP="00CD6C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Информация по проекту. Стоимость дополнительно приобретенного оборудования – 100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 Срок службы оборудования 5 лет, ожидаемая ликвидационная стоимость 10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., расходы на доставку оборудования – 5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., монтаж – 5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млн.руб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>. Амортизация начисляется линейно. Ставка налога на прибыль 15%. Стоимость заемного капитала, привлекаемого под проект – 20%. Финансирование проекта происходит по схеме 30% собственных, 70% заемных средств.</w:t>
      </w:r>
    </w:p>
    <w:p w:rsidR="00CD6C32" w:rsidRDefault="00CD6C32" w:rsidP="00CD6C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Следует ли принять проект? В качестве критерия при принятии решения рассмотрите NPV и PP. Коэффициент β – 1,2; </w:t>
      </w:r>
      <w:proofErr w:type="spellStart"/>
      <w:r w:rsidRPr="00CD6C32">
        <w:rPr>
          <w:rFonts w:ascii="Times New Roman" w:hAnsi="Times New Roman" w:cs="Times New Roman"/>
          <w:sz w:val="28"/>
          <w:szCs w:val="20"/>
          <w:lang w:val="ru-RU"/>
        </w:rPr>
        <w:t>безрисковая</w:t>
      </w:r>
      <w:proofErr w:type="spellEnd"/>
      <w:r w:rsidRPr="00CD6C32">
        <w:rPr>
          <w:rFonts w:ascii="Times New Roman" w:hAnsi="Times New Roman" w:cs="Times New Roman"/>
          <w:sz w:val="28"/>
          <w:szCs w:val="20"/>
          <w:lang w:val="ru-RU"/>
        </w:rPr>
        <w:t xml:space="preserve"> ставка 7%, средневзвешенного дохода 15%.</w:t>
      </w:r>
    </w:p>
    <w:p w:rsidR="00A41AE0" w:rsidRDefault="00A41AE0" w:rsidP="00CD6C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b/>
          <w:bCs/>
          <w:sz w:val="28"/>
          <w:szCs w:val="28"/>
        </w:rPr>
        <w:t xml:space="preserve">Задание №2. </w:t>
      </w:r>
    </w:p>
    <w:p w:rsidR="00A41AE0" w:rsidRPr="00A41AE0" w:rsidRDefault="00A41AE0" w:rsidP="00A41AE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Для покрытия своих инвестиционных потребностей компания планирует в будущем году использовать следующие источники финансирования: </w:t>
      </w:r>
    </w:p>
    <w:p w:rsidR="00A41AE0" w:rsidRPr="00A41AE0" w:rsidRDefault="00A41AE0" w:rsidP="00A41AE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Нераспределенная прибыль в сумме 50 млн. рублей. </w:t>
      </w:r>
    </w:p>
    <w:p w:rsidR="00A41AE0" w:rsidRPr="00A41AE0" w:rsidRDefault="00A41AE0" w:rsidP="00A41AE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41AE0">
        <w:rPr>
          <w:sz w:val="28"/>
          <w:szCs w:val="28"/>
        </w:rPr>
        <w:lastRenderedPageBreak/>
        <w:t xml:space="preserve"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планируется продавать по цене 320 рублей. </w:t>
      </w:r>
    </w:p>
    <w:p w:rsidR="00A41AE0" w:rsidRP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AE0">
        <w:rPr>
          <w:rFonts w:ascii="Times New Roman" w:hAnsi="Times New Roman" w:cs="Times New Roman"/>
          <w:sz w:val="28"/>
          <w:szCs w:val="28"/>
        </w:rPr>
        <w:t>Эмиссия привилегированных акций в сумме 50 млн. рублей. Расходы по эмиссии планируются в размере 4% от фактически вырученной суммы, дивиденды</w:t>
      </w:r>
      <w:r w:rsidRPr="00A41AE0">
        <w:rPr>
          <w:rFonts w:ascii="Times New Roman" w:hAnsi="Times New Roman" w:cs="Times New Roman"/>
          <w:sz w:val="28"/>
          <w:szCs w:val="28"/>
          <w:lang w:val="ru-RU"/>
        </w:rPr>
        <w:t xml:space="preserve">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</w:t>
      </w:r>
    </w:p>
    <w:p w:rsidR="00A41AE0" w:rsidRP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AE0">
        <w:rPr>
          <w:rFonts w:ascii="Times New Roman" w:hAnsi="Times New Roman" w:cs="Times New Roman"/>
          <w:sz w:val="28"/>
          <w:szCs w:val="28"/>
          <w:lang w:val="ru-RU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составит 20%. Компания уплачивает налог на прибыль по ставке 20%.</w:t>
      </w:r>
    </w:p>
    <w:p w:rsid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AE0">
        <w:rPr>
          <w:rFonts w:ascii="Times New Roman" w:hAnsi="Times New Roman" w:cs="Times New Roman"/>
          <w:sz w:val="28"/>
          <w:szCs w:val="28"/>
          <w:lang w:val="ru-RU"/>
        </w:rPr>
        <w:t>Рассчитайте стоимость каждого источника финансирования, определите точки перелома и предельные значения WACC, постройте график поведения предельной стоимости капитала.</w:t>
      </w:r>
    </w:p>
    <w:p w:rsid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b/>
          <w:bCs/>
          <w:sz w:val="28"/>
          <w:szCs w:val="28"/>
        </w:rPr>
        <w:t xml:space="preserve">Задание №3. </w:t>
      </w: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Определите текущую стоимость остаточной терминальной стоимости бизнеса компании, если известна следующая информация. </w:t>
      </w: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На ближайшие три года планируются денежные потоки: за первый год - 50000 руб.; за второй год - 75000 руб.; за третий год - 80000 руб. В дальнейшем денежные потоки прогнозируются как стабильные (на уровне третьего года) в течение неопределенно длительного времени. </w:t>
      </w: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Реальная </w:t>
      </w:r>
      <w:proofErr w:type="spellStart"/>
      <w:r w:rsidRPr="00A41AE0">
        <w:rPr>
          <w:sz w:val="28"/>
          <w:szCs w:val="28"/>
        </w:rPr>
        <w:t>безрисковая</w:t>
      </w:r>
      <w:proofErr w:type="spellEnd"/>
      <w:r w:rsidRPr="00A41AE0">
        <w:rPr>
          <w:sz w:val="28"/>
          <w:szCs w:val="28"/>
        </w:rPr>
        <w:t xml:space="preserve"> ставка - 1,5% годовых. Согласно плану-прогнозу Министерства экономического развития и торговли, инфляция в стране в ближайшие три года будет составлять по оптимистическому сценарию в первом прогнозном году – 6%, во втором году – 5%, в третьем году – 4%. По пессимистическому сценарию инфляция окажется равной 14% в первом году, 13% во втором году и 18% в третьем году. Наиболее вероятный сценарий предполагает, что инфляция достигнет 17% в первом году, 8% - во втором и 5% - в третьем. В дальнейшем инфляция должна стабилизироваться и оставаться в среднем на уровне 4%. При определении величины </w:t>
      </w:r>
      <w:proofErr w:type="spellStart"/>
      <w:r w:rsidRPr="00A41AE0">
        <w:rPr>
          <w:sz w:val="28"/>
          <w:szCs w:val="28"/>
        </w:rPr>
        <w:t>безрисковых</w:t>
      </w:r>
      <w:proofErr w:type="spellEnd"/>
      <w:r w:rsidRPr="00A41AE0">
        <w:rPr>
          <w:sz w:val="28"/>
          <w:szCs w:val="28"/>
        </w:rPr>
        <w:t xml:space="preserve"> норм дохода (переменных </w:t>
      </w:r>
      <w:proofErr w:type="spellStart"/>
      <w:r w:rsidRPr="00A41AE0">
        <w:rPr>
          <w:sz w:val="28"/>
          <w:szCs w:val="28"/>
        </w:rPr>
        <w:t>безрисковых</w:t>
      </w:r>
      <w:proofErr w:type="spellEnd"/>
      <w:r w:rsidRPr="00A41AE0">
        <w:rPr>
          <w:sz w:val="28"/>
          <w:szCs w:val="28"/>
        </w:rPr>
        <w:t xml:space="preserve"> ставок) можно исходить из предположения о нормальном характере распределения вероятностей всех сценариев изменения инфляции. </w:t>
      </w:r>
    </w:p>
    <w:p w:rsid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AE0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A41AE0">
        <w:rPr>
          <w:rFonts w:ascii="Times New Roman" w:hAnsi="Times New Roman" w:cs="Times New Roman"/>
          <w:sz w:val="28"/>
          <w:szCs w:val="28"/>
        </w:rPr>
        <w:t xml:space="preserve"> = (Sепес+4Seн.в++</w:t>
      </w:r>
      <w:proofErr w:type="spellStart"/>
      <w:r w:rsidRPr="00A41AE0">
        <w:rPr>
          <w:rFonts w:ascii="Times New Roman" w:hAnsi="Times New Roman" w:cs="Times New Roman"/>
          <w:sz w:val="28"/>
          <w:szCs w:val="28"/>
        </w:rPr>
        <w:t>Sеопт</w:t>
      </w:r>
      <w:proofErr w:type="spellEnd"/>
      <w:proofErr w:type="gramStart"/>
      <w:r w:rsidRPr="00A41AE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41A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‘инфляция</w:t>
      </w:r>
    </w:p>
    <w:p w:rsidR="00A41AE0" w:rsidRP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E0" w:rsidRPr="00A41AE0" w:rsidRDefault="00A41AE0" w:rsidP="00A41AE0">
      <w:pPr>
        <w:pStyle w:val="Default"/>
        <w:widowControl w:val="0"/>
        <w:jc w:val="both"/>
        <w:rPr>
          <w:sz w:val="28"/>
          <w:szCs w:val="28"/>
        </w:rPr>
      </w:pPr>
      <w:r w:rsidRPr="00A41AE0">
        <w:rPr>
          <w:sz w:val="28"/>
          <w:szCs w:val="28"/>
        </w:rPr>
        <w:t xml:space="preserve">Наиболее устойчивые по своим значениям коэффициенты «бета» по трем </w:t>
      </w:r>
      <w:r w:rsidRPr="00A41AE0">
        <w:rPr>
          <w:sz w:val="28"/>
          <w:szCs w:val="28"/>
        </w:rPr>
        <w:lastRenderedPageBreak/>
        <w:t xml:space="preserve">открытым компаниям отрасли составляют на момент оценки: у компании </w:t>
      </w:r>
      <w:proofErr w:type="gramStart"/>
      <w:r w:rsidRPr="00A41AE0">
        <w:rPr>
          <w:sz w:val="28"/>
          <w:szCs w:val="28"/>
        </w:rPr>
        <w:t>А(</w:t>
      </w:r>
      <w:proofErr w:type="gramEnd"/>
      <w:r w:rsidRPr="00A41AE0">
        <w:rPr>
          <w:sz w:val="28"/>
          <w:szCs w:val="28"/>
        </w:rPr>
        <w:t xml:space="preserve">βА ) - 1,32, у компании В(βB) - 1,47, у компании С(βC) - 1,51. Рыночные капитализации этих компаний равны соответственно 1,241 млн руб. (ЦА), 3,544 млн руб. (ЦB) и 3,702 млн руб. (ЦC). </w:t>
      </w:r>
    </w:p>
    <w:p w:rsidR="00A41AE0" w:rsidRPr="00A41AE0" w:rsidRDefault="00A41AE0" w:rsidP="00A41AE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AE0">
        <w:rPr>
          <w:rFonts w:ascii="Times New Roman" w:hAnsi="Times New Roman" w:cs="Times New Roman"/>
          <w:sz w:val="28"/>
          <w:szCs w:val="28"/>
        </w:rPr>
        <w:t>Среднерыночная доходность на момент оценки равна 25 %. В дальнейшем она ожидается на уровне 0,23 для первого года(Rm1), 0,18 - для второго года (Rm2), 0,15- для третьего года (Rm3) и также 0,15 - для последующих лет.</w:t>
      </w:r>
    </w:p>
    <w:sectPr w:rsidR="00A41AE0" w:rsidRPr="00A4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2"/>
    <w:rsid w:val="009C6662"/>
    <w:rsid w:val="00A41AE0"/>
    <w:rsid w:val="00CA094E"/>
    <w:rsid w:val="00C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705"/>
  <w15:chartTrackingRefBased/>
  <w15:docId w15:val="{1211E123-B0B4-4CE1-910C-41FA470E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6C32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ПАРАГРАФ"/>
    <w:basedOn w:val="a"/>
    <w:link w:val="a4"/>
    <w:uiPriority w:val="34"/>
    <w:qFormat/>
    <w:rsid w:val="00CD6C3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4">
    <w:name w:val="Абзац списка Знак"/>
    <w:aliases w:val="ПАРАГРАФ Знак"/>
    <w:link w:val="a3"/>
    <w:uiPriority w:val="34"/>
    <w:rsid w:val="00CD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2023-09-29T13:21:00Z</dcterms:created>
  <dcterms:modified xsi:type="dcterms:W3CDTF">2023-09-29T13:58:00Z</dcterms:modified>
</cp:coreProperties>
</file>