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DCD7B" w14:textId="367856AB" w:rsidR="00AE58A8" w:rsidRDefault="00CE2933" w:rsidP="006F7DA9">
      <w:pPr>
        <w:jc w:val="center"/>
        <w:rPr>
          <w:rFonts w:eastAsiaTheme="minorEastAsia" w:cstheme="minorBidi"/>
          <w:b/>
          <w:noProof/>
          <w:sz w:val="28"/>
        </w:rPr>
      </w:pPr>
      <w:r w:rsidRPr="001D3B13">
        <w:rPr>
          <w:rFonts w:eastAsiaTheme="minorEastAsia" w:cstheme="minorBidi"/>
          <w:b/>
          <w:noProof/>
          <w:sz w:val="28"/>
        </w:rPr>
        <w:t>Примерный перечень тем ВКР (направление 38.03.01 "Экономика", профиль "</w:t>
      </w:r>
      <w:r w:rsidR="00C37BB9">
        <w:rPr>
          <w:rFonts w:eastAsiaTheme="minorEastAsia" w:cstheme="minorBidi"/>
          <w:b/>
          <w:noProof/>
          <w:sz w:val="28"/>
        </w:rPr>
        <w:t>Банковское дело и финансовые рынки</w:t>
      </w:r>
      <w:r w:rsidRPr="001D3B13">
        <w:rPr>
          <w:rFonts w:eastAsiaTheme="minorEastAsia" w:cstheme="minorBidi"/>
          <w:b/>
          <w:noProof/>
          <w:sz w:val="28"/>
        </w:rPr>
        <w:t xml:space="preserve">")  </w:t>
      </w:r>
      <w:r w:rsidR="00AE58A8" w:rsidRPr="001D3B13">
        <w:rPr>
          <w:rFonts w:eastAsiaTheme="minorEastAsia" w:cstheme="minorBidi"/>
          <w:b/>
          <w:noProof/>
          <w:sz w:val="28"/>
        </w:rPr>
        <w:t>(201</w:t>
      </w:r>
      <w:r w:rsidR="00683C83">
        <w:rPr>
          <w:rFonts w:eastAsiaTheme="minorEastAsia" w:cstheme="minorBidi"/>
          <w:b/>
          <w:noProof/>
          <w:sz w:val="28"/>
        </w:rPr>
        <w:t>9</w:t>
      </w:r>
      <w:r w:rsidR="00AE58A8" w:rsidRPr="001D3B13">
        <w:rPr>
          <w:rFonts w:eastAsiaTheme="minorEastAsia" w:cstheme="minorBidi"/>
          <w:b/>
          <w:noProof/>
          <w:sz w:val="28"/>
        </w:rPr>
        <w:t>-20</w:t>
      </w:r>
      <w:r w:rsidR="00683C83">
        <w:rPr>
          <w:rFonts w:eastAsiaTheme="minorEastAsia" w:cstheme="minorBidi"/>
          <w:b/>
          <w:noProof/>
          <w:sz w:val="28"/>
        </w:rPr>
        <w:t>20</w:t>
      </w:r>
      <w:r w:rsidR="00AE58A8" w:rsidRPr="001D3B13">
        <w:rPr>
          <w:rFonts w:eastAsiaTheme="minorEastAsia" w:cstheme="minorBidi"/>
          <w:b/>
          <w:noProof/>
          <w:sz w:val="28"/>
        </w:rPr>
        <w:t xml:space="preserve"> уч.</w:t>
      </w:r>
      <w:r w:rsidRPr="001D3B13">
        <w:rPr>
          <w:rFonts w:eastAsiaTheme="minorEastAsia" w:cstheme="minorBidi"/>
          <w:b/>
          <w:noProof/>
          <w:sz w:val="28"/>
        </w:rPr>
        <w:t xml:space="preserve"> </w:t>
      </w:r>
      <w:r w:rsidR="00AE58A8" w:rsidRPr="001D3B13">
        <w:rPr>
          <w:rFonts w:eastAsiaTheme="minorEastAsia" w:cstheme="minorBidi"/>
          <w:b/>
          <w:noProof/>
          <w:sz w:val="28"/>
        </w:rPr>
        <w:t>год)</w:t>
      </w:r>
    </w:p>
    <w:p w14:paraId="1E2F2EC3" w14:textId="77777777" w:rsidR="00BF69F5" w:rsidRPr="001D3B13" w:rsidRDefault="00BF69F5" w:rsidP="006F7DA9">
      <w:pPr>
        <w:jc w:val="center"/>
        <w:rPr>
          <w:rFonts w:eastAsiaTheme="minorEastAsia" w:cstheme="minorBidi"/>
          <w:b/>
          <w:noProof/>
          <w:sz w:val="28"/>
        </w:rPr>
      </w:pPr>
      <w:bookmarkStart w:id="0" w:name="_GoBack"/>
      <w:bookmarkEnd w:id="0"/>
    </w:p>
    <w:p w14:paraId="104B2B79" w14:textId="6B27F029" w:rsidR="00E2225C" w:rsidRDefault="00E2225C" w:rsidP="00E2225C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E2225C">
        <w:rPr>
          <w:rStyle w:val="1"/>
          <w:color w:val="auto"/>
          <w:sz w:val="28"/>
          <w:szCs w:val="28"/>
          <w:shd w:val="clear" w:color="auto" w:fill="auto"/>
        </w:rPr>
        <w:t>Операции с ценными бумагами в реализации корпоративной стратегии предприятия</w:t>
      </w:r>
    </w:p>
    <w:p w14:paraId="0FD3697C" w14:textId="77777777" w:rsidR="00762048" w:rsidRDefault="00762048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62048">
        <w:rPr>
          <w:rStyle w:val="1"/>
          <w:color w:val="auto"/>
          <w:sz w:val="28"/>
          <w:szCs w:val="28"/>
          <w:shd w:val="clear" w:color="auto" w:fill="auto"/>
        </w:rPr>
        <w:t xml:space="preserve">Эмиссионные  операции  на  российском  фондовом  рынке </w:t>
      </w:r>
    </w:p>
    <w:p w14:paraId="2B40A2B9" w14:textId="707060F5" w:rsidR="00762048" w:rsidRDefault="00762048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62048">
        <w:rPr>
          <w:rStyle w:val="1"/>
          <w:color w:val="auto"/>
          <w:sz w:val="28"/>
          <w:szCs w:val="28"/>
          <w:shd w:val="clear" w:color="auto" w:fill="auto"/>
        </w:rPr>
        <w:t>Управление портфелем ценных бумаг негосударственных пенсионных фондов</w:t>
      </w:r>
    </w:p>
    <w:p w14:paraId="22447989" w14:textId="6E36E23C" w:rsidR="00762048" w:rsidRDefault="00762048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62048">
        <w:rPr>
          <w:rStyle w:val="1"/>
          <w:color w:val="auto"/>
          <w:sz w:val="28"/>
          <w:szCs w:val="28"/>
          <w:shd w:val="clear" w:color="auto" w:fill="auto"/>
        </w:rPr>
        <w:t xml:space="preserve">Оценка инвестиционной </w:t>
      </w:r>
      <w:r>
        <w:rPr>
          <w:rStyle w:val="1"/>
          <w:color w:val="auto"/>
          <w:sz w:val="28"/>
          <w:szCs w:val="28"/>
          <w:shd w:val="clear" w:color="auto" w:fill="auto"/>
        </w:rPr>
        <w:t>привлекательности акций компании</w:t>
      </w:r>
    </w:p>
    <w:p w14:paraId="4A92123B" w14:textId="57B49657" w:rsidR="00762048" w:rsidRDefault="00762048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62048">
        <w:rPr>
          <w:rStyle w:val="1"/>
          <w:color w:val="auto"/>
          <w:sz w:val="28"/>
          <w:szCs w:val="28"/>
          <w:shd w:val="clear" w:color="auto" w:fill="auto"/>
        </w:rPr>
        <w:t>Дивидендная политика публичн</w:t>
      </w:r>
      <w:r>
        <w:rPr>
          <w:rStyle w:val="1"/>
          <w:color w:val="auto"/>
          <w:sz w:val="28"/>
          <w:szCs w:val="28"/>
          <w:shd w:val="clear" w:color="auto" w:fill="auto"/>
        </w:rPr>
        <w:t>ой</w:t>
      </w:r>
      <w:r w:rsidRPr="00762048">
        <w:rPr>
          <w:rStyle w:val="1"/>
          <w:color w:val="auto"/>
          <w:sz w:val="28"/>
          <w:szCs w:val="28"/>
          <w:shd w:val="clear" w:color="auto" w:fill="auto"/>
        </w:rPr>
        <w:t xml:space="preserve"> компан</w:t>
      </w:r>
      <w:proofErr w:type="gramStart"/>
      <w:r w:rsidRPr="00762048">
        <w:rPr>
          <w:rStyle w:val="1"/>
          <w:color w:val="auto"/>
          <w:sz w:val="28"/>
          <w:szCs w:val="28"/>
          <w:shd w:val="clear" w:color="auto" w:fill="auto"/>
        </w:rPr>
        <w:t>и</w:t>
      </w:r>
      <w:r>
        <w:rPr>
          <w:rStyle w:val="1"/>
          <w:color w:val="auto"/>
          <w:sz w:val="28"/>
          <w:szCs w:val="28"/>
          <w:shd w:val="clear" w:color="auto" w:fill="auto"/>
        </w:rPr>
        <w:t>и</w:t>
      </w:r>
      <w:r w:rsidRPr="00762048">
        <w:rPr>
          <w:rStyle w:val="1"/>
          <w:color w:val="auto"/>
          <w:sz w:val="28"/>
          <w:szCs w:val="28"/>
          <w:shd w:val="clear" w:color="auto" w:fill="auto"/>
        </w:rPr>
        <w:t xml:space="preserve"> и ее</w:t>
      </w:r>
      <w:proofErr w:type="gramEnd"/>
      <w:r w:rsidRPr="00762048">
        <w:rPr>
          <w:rStyle w:val="1"/>
          <w:color w:val="auto"/>
          <w:sz w:val="28"/>
          <w:szCs w:val="28"/>
          <w:shd w:val="clear" w:color="auto" w:fill="auto"/>
        </w:rPr>
        <w:t xml:space="preserve"> влияние на цену акци</w:t>
      </w:r>
      <w:r>
        <w:rPr>
          <w:rStyle w:val="1"/>
          <w:color w:val="auto"/>
          <w:sz w:val="28"/>
          <w:szCs w:val="28"/>
          <w:shd w:val="clear" w:color="auto" w:fill="auto"/>
        </w:rPr>
        <w:t>и</w:t>
      </w:r>
    </w:p>
    <w:p w14:paraId="45F85EBF" w14:textId="75628F76" w:rsidR="00762048" w:rsidRDefault="00744655" w:rsidP="00744655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44655">
        <w:rPr>
          <w:rStyle w:val="1"/>
          <w:color w:val="auto"/>
          <w:sz w:val="28"/>
          <w:szCs w:val="28"/>
          <w:shd w:val="clear" w:color="auto" w:fill="auto"/>
        </w:rPr>
        <w:t>Фундаментальный  анализ  и  его  роль  в  принятии  инвестиционных  решений</w:t>
      </w:r>
    </w:p>
    <w:p w14:paraId="6126A12B" w14:textId="3FFD85BE" w:rsidR="00744655" w:rsidRDefault="00C26F5E" w:rsidP="00744655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color w:val="auto"/>
          <w:sz w:val="28"/>
          <w:szCs w:val="28"/>
          <w:shd w:val="clear" w:color="auto" w:fill="auto"/>
        </w:rPr>
        <w:t>Фундаментальный анализ эмитента</w:t>
      </w:r>
    </w:p>
    <w:p w14:paraId="0A0DCDDC" w14:textId="3C8268E1" w:rsidR="006F7DA9" w:rsidRPr="00ED6BC1" w:rsidRDefault="006F7DA9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тенденции развития деятельности российских коммерческих банков</w:t>
      </w:r>
    </w:p>
    <w:p w14:paraId="0A0DCDDD" w14:textId="77777777" w:rsidR="006F7DA9" w:rsidRPr="00ED6BC1" w:rsidRDefault="006F7DA9" w:rsidP="001C0C66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оздоровление кредитных организаций: современная практика и оценка эффективности.</w:t>
      </w:r>
    </w:p>
    <w:p w14:paraId="0A0DCDDE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банковской инфраструктуры и оценка ее влияния на деятельность коммерческого банка.</w:t>
      </w:r>
    </w:p>
    <w:p w14:paraId="0A0DCDDF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Регулирование взаимоотношений банка с клиентами: сущность, особенности, анализ современной практики.</w:t>
      </w:r>
    </w:p>
    <w:p w14:paraId="0A0DCDE0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Организация межбанковских и </w:t>
      </w:r>
      <w:proofErr w:type="spellStart"/>
      <w:r w:rsidRPr="00ED6BC1">
        <w:rPr>
          <w:rStyle w:val="1"/>
          <w:sz w:val="28"/>
          <w:szCs w:val="28"/>
        </w:rPr>
        <w:t>внутрифилиальных</w:t>
      </w:r>
      <w:proofErr w:type="spellEnd"/>
      <w:r w:rsidRPr="00ED6BC1">
        <w:rPr>
          <w:rStyle w:val="1"/>
          <w:sz w:val="28"/>
          <w:szCs w:val="28"/>
        </w:rPr>
        <w:t xml:space="preserve"> расчетов и платежей в коммерческом банке.</w:t>
      </w:r>
    </w:p>
    <w:p w14:paraId="0A0DCDE1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68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кредитной политики коммерческих банков на различных стадиях экономического цикла.</w:t>
      </w:r>
    </w:p>
    <w:p w14:paraId="0A0DCDE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Рентабельность деятельности коммерческого банка: содержание, современные тренды развития и направления её повышения</w:t>
      </w:r>
    </w:p>
    <w:p w14:paraId="0A0DCDE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финансовой устойчивости коммерческого банка: современная практика, взгляд инвесторов и менеджмента.</w:t>
      </w:r>
    </w:p>
    <w:p w14:paraId="0A0DCDE4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инвестиционной деятельности коммерческого банка, применение при формировании инвестиционных портфелей математических моделей и информационных технологий.</w:t>
      </w:r>
    </w:p>
    <w:p w14:paraId="0A0DCDE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Оценка целесообразности и возможности участия коммерческого банка в региональной программе ипотечного кредитования.</w:t>
      </w:r>
    </w:p>
    <w:p w14:paraId="0A0DCDE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кредитования физических лиц в коммерческом банке, анализ опыта применения кредитных фабрик.</w:t>
      </w:r>
    </w:p>
    <w:p w14:paraId="0A0DCDE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Регулирование взаимоотношений банка с клиентом, в том числе в деятельности коммерческого банка по противодействию легализации доходов, полученных преступным путем.</w:t>
      </w:r>
    </w:p>
    <w:p w14:paraId="0A0DCDE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Процентная политика коммерческого банка: понятие, особенности формирования и корректировки.</w:t>
      </w:r>
    </w:p>
    <w:p w14:paraId="0A0DCDE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Кредитная политика коммерческого банка: понятие, структура, соответствие принятым стандартам.</w:t>
      </w:r>
    </w:p>
    <w:p w14:paraId="0A0DCDEA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валютного контроля в коммерческом банке.</w:t>
      </w:r>
    </w:p>
    <w:p w14:paraId="0A0DCDEB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lastRenderedPageBreak/>
        <w:t>Анализ рентабельности деятельности филиала и дополнительного офиса коммерческого банка.</w:t>
      </w:r>
    </w:p>
    <w:p w14:paraId="0A0DCDEC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Стандарт качества организации работы по управлению бизнес-процессами в кредитных организациях.</w:t>
      </w:r>
    </w:p>
    <w:p w14:paraId="0A0DCDED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Критерии и показатели оценки качества активов коммерческого банка: российская и зарубежная практика.</w:t>
      </w:r>
    </w:p>
    <w:p w14:paraId="0A0DCDEE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Внутренний контроль в коммерческом банке: необходимость и организационные основы, стандарт качества организации внутреннего контроля в банках.</w:t>
      </w:r>
    </w:p>
    <w:p w14:paraId="0A0DCDEF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Социальная ответственность банков: понятие и ее развитие в отечественной и российской практике.</w:t>
      </w:r>
    </w:p>
    <w:p w14:paraId="0A0DCDF0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Кредитные кооперативы, ломбарды и МФО как альтернатива коммерческим банкам.</w:t>
      </w:r>
    </w:p>
    <w:p w14:paraId="0A0DCDF1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Система страхования вкладов. Зарубежный опыт и российская практика.</w:t>
      </w:r>
    </w:p>
    <w:p w14:paraId="0A0DCDF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Модели формирования прибыли коммерческого банка</w:t>
      </w:r>
    </w:p>
    <w:p w14:paraId="0A0DCDF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Роль региональных банков в развитии экономики регионов </w:t>
      </w:r>
      <w:r w:rsidR="00E77088">
        <w:rPr>
          <w:rStyle w:val="1"/>
          <w:sz w:val="28"/>
          <w:szCs w:val="28"/>
        </w:rPr>
        <w:t>Российской Федерации</w:t>
      </w:r>
    </w:p>
    <w:p w14:paraId="0A0DCDF4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Депозитная политика коммерческого банка, стандарт качества банковской деятельности по депозитным операциям</w:t>
      </w:r>
    </w:p>
    <w:p w14:paraId="0A0DCDF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Ресурсная база кредитной организации: сущность, структура, критерии и способы оценки, пути оптимизации</w:t>
      </w:r>
    </w:p>
    <w:p w14:paraId="0A0DCDF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методы управления собственным капиталом банка</w:t>
      </w:r>
    </w:p>
    <w:p w14:paraId="0A0DCDF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Активные операции коммерческого банка: классификация, способы оценки эффективности, направления современного развития</w:t>
      </w:r>
    </w:p>
    <w:p w14:paraId="0A0DCDF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Кассовые операции коммерческих банков и перспективы их развития</w:t>
      </w:r>
    </w:p>
    <w:p w14:paraId="0A0DCDF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Лизинговые операции коммерческих банков и перспективы их развития</w:t>
      </w:r>
    </w:p>
    <w:p w14:paraId="0A0DCDFA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капиталом: сущность, регулирование, практика.</w:t>
      </w:r>
    </w:p>
    <w:p w14:paraId="0A0DCDFB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методы и модели управления доходностью активов коммерческого банка.</w:t>
      </w:r>
    </w:p>
    <w:p w14:paraId="0A0DCDFC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Методы управления кредитным риском в банковском риск-менеджменте.</w:t>
      </w:r>
    </w:p>
    <w:p w14:paraId="0A0DCDFD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прибыльностью и эффективностью деятельности кредитной организации.</w:t>
      </w:r>
    </w:p>
    <w:p w14:paraId="0A0DCDFE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процентными и непроцентными расходами коммерческого банка.</w:t>
      </w:r>
    </w:p>
    <w:p w14:paraId="0A0DCDFF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процентным риском, анализ и оценка процентного риска на основе модели GAP.</w:t>
      </w:r>
    </w:p>
    <w:p w14:paraId="0A0DCE00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кредитным портфелем коммерческого банка в современных условиях.</w:t>
      </w:r>
    </w:p>
    <w:p w14:paraId="0A0DCE01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портфелем ценных бумаг в коммерческом банке с применением математического моделирования экономических процессов и информационных технологий.</w:t>
      </w:r>
    </w:p>
    <w:p w14:paraId="0A0DCE0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ресурсной базой коммерческого банка и его особенности в современных условиях.</w:t>
      </w:r>
    </w:p>
    <w:p w14:paraId="0A0DCE0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Российские и зарубежные методики оценки кредитоспособности заемщика коммерческого банка и их совершенствование.</w:t>
      </w:r>
    </w:p>
    <w:p w14:paraId="0A0DCE04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lastRenderedPageBreak/>
        <w:t>Современная практика кредитования корпоративных клиентов: проблемы и перспективы.</w:t>
      </w:r>
    </w:p>
    <w:p w14:paraId="0A0DCE0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кредитования физических лиц в коммерческом банке, анализ опыта применения кредитных фабрик.</w:t>
      </w:r>
    </w:p>
    <w:p w14:paraId="0A0DCE0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Рынок ипотечного жилищного кредитования в РФ: тенденции, проблемы и перспективы развития в современных условиях.</w:t>
      </w:r>
    </w:p>
    <w:p w14:paraId="0A0DCE0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Направления и перспективы развития ипотечного жилищного кредитования в современных условиях.</w:t>
      </w:r>
    </w:p>
    <w:p w14:paraId="0A0DCE0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и проблемы кредитования субъектов малого и среднего бизнеса в российских коммерческих банках.</w:t>
      </w:r>
    </w:p>
    <w:p w14:paraId="0A0DCE0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Особенности современной практики краткосрочного кредитования и направления её совершенствования</w:t>
      </w:r>
    </w:p>
    <w:p w14:paraId="0A0DCE0A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Залог, гарантия и поручительство как формы обеспечения возвратности кредита коммерческого банка.</w:t>
      </w:r>
    </w:p>
    <w:p w14:paraId="0A0DCE0B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Кредитный договор и его роль в повышении эффективности использования кредита.</w:t>
      </w:r>
    </w:p>
    <w:p w14:paraId="0A0DCE0C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Инновации в банковском кредитовании, стандарт процесса инновационного кредитования.</w:t>
      </w:r>
    </w:p>
    <w:p w14:paraId="0A0DCE0D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банковского кредитования инвестиционных проектов.</w:t>
      </w:r>
    </w:p>
    <w:p w14:paraId="0A0DCE0E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Деятельность банков как профессиональных участников российского фондового рынка.</w:t>
      </w:r>
    </w:p>
    <w:p w14:paraId="0A0DCE0F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Операции российских коммерческих банков с ценными бумагами: проблемы и перспективы развития в кризисный период.</w:t>
      </w:r>
    </w:p>
    <w:p w14:paraId="0A0DCE10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Срочные (форвардные, опционные, </w:t>
      </w:r>
      <w:proofErr w:type="spellStart"/>
      <w:r w:rsidRPr="00ED6BC1">
        <w:rPr>
          <w:rStyle w:val="1"/>
          <w:sz w:val="28"/>
          <w:szCs w:val="28"/>
        </w:rPr>
        <w:t>своповые</w:t>
      </w:r>
      <w:proofErr w:type="spellEnd"/>
      <w:r w:rsidRPr="00ED6BC1">
        <w:rPr>
          <w:rStyle w:val="1"/>
          <w:sz w:val="28"/>
          <w:szCs w:val="28"/>
        </w:rPr>
        <w:t>) валютные операции коммерческих банков: зарубежная и российская практика.</w:t>
      </w:r>
    </w:p>
    <w:p w14:paraId="0A0DCE11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Валютные операции коммерческих банков и их особенности на современном этапе.</w:t>
      </w:r>
    </w:p>
    <w:p w14:paraId="0A0DCE1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Внедрение требований </w:t>
      </w:r>
      <w:proofErr w:type="spellStart"/>
      <w:r w:rsidRPr="00ED6BC1">
        <w:rPr>
          <w:rStyle w:val="1"/>
          <w:sz w:val="28"/>
          <w:szCs w:val="28"/>
        </w:rPr>
        <w:t>Базельских</w:t>
      </w:r>
      <w:proofErr w:type="spellEnd"/>
      <w:r w:rsidRPr="00ED6BC1">
        <w:rPr>
          <w:rStyle w:val="1"/>
          <w:sz w:val="28"/>
          <w:szCs w:val="28"/>
        </w:rPr>
        <w:t xml:space="preserve"> соглашений по достаточности капитала, ликвидности и риск-менеджменту в деятельность коммерческого банка</w:t>
      </w:r>
    </w:p>
    <w:p w14:paraId="0A0DCE1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Кредитный риск: модели оценки и методы управления, стандарт качества организации управления кредитным риском в кредитных организациях.</w:t>
      </w:r>
    </w:p>
    <w:p w14:paraId="0A0DCE14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практики банковского автокредитования: конкурентные преимущества и проблемы российских коммерческих банков на этом рынке.</w:t>
      </w:r>
    </w:p>
    <w:p w14:paraId="0A0DCE1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Риски деловой репутации коммерческого банка: понятие, оценка, методы управления.</w:t>
      </w:r>
    </w:p>
    <w:p w14:paraId="0A0DCE1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Деятельность коммерческого банка по противодействию легализации (отмыванию) доходов, полученных преступным путем.</w:t>
      </w:r>
    </w:p>
    <w:p w14:paraId="0A0DCE1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Перспективы развития и направления работы коммерческого банка с частными клиентами с высоким уровнем доходов (</w:t>
      </w:r>
      <w:proofErr w:type="spellStart"/>
      <w:r w:rsidRPr="00ED6BC1">
        <w:rPr>
          <w:rStyle w:val="1"/>
          <w:sz w:val="28"/>
          <w:szCs w:val="28"/>
        </w:rPr>
        <w:t>Private</w:t>
      </w:r>
      <w:proofErr w:type="spellEnd"/>
      <w:r w:rsidRPr="00ED6BC1">
        <w:rPr>
          <w:rStyle w:val="1"/>
          <w:sz w:val="28"/>
          <w:szCs w:val="28"/>
        </w:rPr>
        <w:t xml:space="preserve"> </w:t>
      </w:r>
      <w:proofErr w:type="spellStart"/>
      <w:r w:rsidRPr="00ED6BC1">
        <w:rPr>
          <w:rStyle w:val="1"/>
          <w:sz w:val="28"/>
          <w:szCs w:val="28"/>
        </w:rPr>
        <w:t>banking</w:t>
      </w:r>
      <w:proofErr w:type="spellEnd"/>
      <w:r w:rsidRPr="00ED6BC1">
        <w:rPr>
          <w:rStyle w:val="1"/>
          <w:sz w:val="28"/>
          <w:szCs w:val="28"/>
        </w:rPr>
        <w:t>).</w:t>
      </w:r>
    </w:p>
    <w:p w14:paraId="0A0DCE1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Совершенствование системы дистанционного банковского обслуживания в современных условиях.</w:t>
      </w:r>
    </w:p>
    <w:p w14:paraId="0A0DCE1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Международные и отечественные системы платежей с банковскими картами, особенности развития на современном этапе.</w:t>
      </w:r>
    </w:p>
    <w:p w14:paraId="0A0DCE1A" w14:textId="77777777" w:rsidR="001C0C66" w:rsidRPr="00ED6BC1" w:rsidRDefault="001C0C66" w:rsidP="001C0C66">
      <w:pPr>
        <w:ind w:left="851" w:right="150"/>
        <w:rPr>
          <w:i/>
          <w:sz w:val="28"/>
          <w:szCs w:val="28"/>
        </w:rPr>
      </w:pPr>
    </w:p>
    <w:p w14:paraId="0A0DCE1C" w14:textId="4B486C9B" w:rsidR="001C0C66" w:rsidRPr="00ED6BC1" w:rsidRDefault="001C0C66" w:rsidP="00655E88">
      <w:pPr>
        <w:ind w:right="150"/>
        <w:rPr>
          <w:sz w:val="28"/>
          <w:szCs w:val="28"/>
        </w:rPr>
      </w:pPr>
      <w:r w:rsidRPr="00ED6BC1">
        <w:rPr>
          <w:i/>
          <w:sz w:val="28"/>
          <w:szCs w:val="28"/>
        </w:rPr>
        <w:lastRenderedPageBreak/>
        <w:t>ВКР выполняются на примере конкретной организации</w:t>
      </w:r>
    </w:p>
    <w:sectPr w:rsidR="001C0C66" w:rsidRPr="00ED6BC1" w:rsidSect="00133A52"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23"/>
    <w:multiLevelType w:val="multilevel"/>
    <w:tmpl w:val="1D103ECE"/>
    <w:lvl w:ilvl="0">
      <w:start w:val="15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CD001E3"/>
    <w:multiLevelType w:val="hybridMultilevel"/>
    <w:tmpl w:val="6CB0F9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8D1"/>
    <w:multiLevelType w:val="hybridMultilevel"/>
    <w:tmpl w:val="CB94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0149"/>
    <w:multiLevelType w:val="multilevel"/>
    <w:tmpl w:val="D938E00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A2877"/>
    <w:multiLevelType w:val="multilevel"/>
    <w:tmpl w:val="0FFEF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63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0E006E"/>
    <w:multiLevelType w:val="multilevel"/>
    <w:tmpl w:val="5E94A7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1301FEF"/>
    <w:multiLevelType w:val="hybridMultilevel"/>
    <w:tmpl w:val="8C00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00B1"/>
    <w:multiLevelType w:val="multilevel"/>
    <w:tmpl w:val="B7E8C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8D55AD3"/>
    <w:multiLevelType w:val="multilevel"/>
    <w:tmpl w:val="5E94A7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A0015CD"/>
    <w:multiLevelType w:val="hybridMultilevel"/>
    <w:tmpl w:val="2196D8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8A7E9B"/>
    <w:multiLevelType w:val="hybridMultilevel"/>
    <w:tmpl w:val="F7365952"/>
    <w:lvl w:ilvl="0" w:tplc="D408D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EB383E"/>
    <w:multiLevelType w:val="hybridMultilevel"/>
    <w:tmpl w:val="5AF626A2"/>
    <w:lvl w:ilvl="0" w:tplc="E53EF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D2C181C"/>
    <w:multiLevelType w:val="multilevel"/>
    <w:tmpl w:val="2924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94907"/>
    <w:multiLevelType w:val="hybridMultilevel"/>
    <w:tmpl w:val="89BA4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14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A6"/>
    <w:rsid w:val="0011435C"/>
    <w:rsid w:val="00133A52"/>
    <w:rsid w:val="00136265"/>
    <w:rsid w:val="00147407"/>
    <w:rsid w:val="00175EF1"/>
    <w:rsid w:val="001A7AD5"/>
    <w:rsid w:val="001C0C66"/>
    <w:rsid w:val="001D3B13"/>
    <w:rsid w:val="001D7151"/>
    <w:rsid w:val="001E07B7"/>
    <w:rsid w:val="002523F1"/>
    <w:rsid w:val="002967C5"/>
    <w:rsid w:val="002A5959"/>
    <w:rsid w:val="00304C50"/>
    <w:rsid w:val="00313CDE"/>
    <w:rsid w:val="00335D0C"/>
    <w:rsid w:val="00335DA6"/>
    <w:rsid w:val="0034560D"/>
    <w:rsid w:val="00384DB4"/>
    <w:rsid w:val="003B0016"/>
    <w:rsid w:val="003B7D11"/>
    <w:rsid w:val="003C5FDB"/>
    <w:rsid w:val="003D7F5A"/>
    <w:rsid w:val="00421FC8"/>
    <w:rsid w:val="004248D8"/>
    <w:rsid w:val="004708AD"/>
    <w:rsid w:val="005319A5"/>
    <w:rsid w:val="00545AE1"/>
    <w:rsid w:val="005722EA"/>
    <w:rsid w:val="00581AF0"/>
    <w:rsid w:val="006022AE"/>
    <w:rsid w:val="0064136E"/>
    <w:rsid w:val="00655E88"/>
    <w:rsid w:val="00683C83"/>
    <w:rsid w:val="006F7DA9"/>
    <w:rsid w:val="00731A5E"/>
    <w:rsid w:val="00744655"/>
    <w:rsid w:val="00750FA5"/>
    <w:rsid w:val="00762048"/>
    <w:rsid w:val="0076572C"/>
    <w:rsid w:val="00790CD2"/>
    <w:rsid w:val="007C3307"/>
    <w:rsid w:val="007D72AB"/>
    <w:rsid w:val="00837B51"/>
    <w:rsid w:val="00846B1A"/>
    <w:rsid w:val="008F03A6"/>
    <w:rsid w:val="008F145A"/>
    <w:rsid w:val="00934E64"/>
    <w:rsid w:val="0093786E"/>
    <w:rsid w:val="009B7D58"/>
    <w:rsid w:val="009F1BED"/>
    <w:rsid w:val="00A130F4"/>
    <w:rsid w:val="00AE58A8"/>
    <w:rsid w:val="00B44F5D"/>
    <w:rsid w:val="00BF69F5"/>
    <w:rsid w:val="00C26F5E"/>
    <w:rsid w:val="00C35BB2"/>
    <w:rsid w:val="00C37BB9"/>
    <w:rsid w:val="00C65387"/>
    <w:rsid w:val="00CB28FB"/>
    <w:rsid w:val="00CC084E"/>
    <w:rsid w:val="00CC1BE6"/>
    <w:rsid w:val="00CD059B"/>
    <w:rsid w:val="00CD42FE"/>
    <w:rsid w:val="00CE2933"/>
    <w:rsid w:val="00D223B4"/>
    <w:rsid w:val="00D41622"/>
    <w:rsid w:val="00D61CA9"/>
    <w:rsid w:val="00D70C19"/>
    <w:rsid w:val="00D86E61"/>
    <w:rsid w:val="00DC617F"/>
    <w:rsid w:val="00DC643B"/>
    <w:rsid w:val="00E01016"/>
    <w:rsid w:val="00E05F8F"/>
    <w:rsid w:val="00E20FF7"/>
    <w:rsid w:val="00E2225C"/>
    <w:rsid w:val="00E77088"/>
    <w:rsid w:val="00E8284F"/>
    <w:rsid w:val="00E85870"/>
    <w:rsid w:val="00EB5388"/>
    <w:rsid w:val="00ED6BC1"/>
    <w:rsid w:val="00F15939"/>
    <w:rsid w:val="00F633BD"/>
    <w:rsid w:val="00FA2F05"/>
    <w:rsid w:val="00FE0272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6F7DA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3"/>
    <w:rsid w:val="006F7D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6F7DA9"/>
    <w:pPr>
      <w:widowControl w:val="0"/>
      <w:shd w:val="clear" w:color="auto" w:fill="FFFFFF"/>
      <w:spacing w:line="341" w:lineRule="exact"/>
      <w:ind w:hanging="820"/>
    </w:pPr>
    <w:rPr>
      <w:sz w:val="25"/>
      <w:szCs w:val="25"/>
      <w:lang w:eastAsia="zh-CN"/>
    </w:rPr>
  </w:style>
  <w:style w:type="paragraph" w:customStyle="1" w:styleId="60">
    <w:name w:val="Основной текст (6)"/>
    <w:basedOn w:val="a"/>
    <w:link w:val="6"/>
    <w:rsid w:val="006F7DA9"/>
    <w:pPr>
      <w:widowControl w:val="0"/>
      <w:shd w:val="clear" w:color="auto" w:fill="FFFFFF"/>
      <w:spacing w:line="341" w:lineRule="exact"/>
      <w:jc w:val="center"/>
    </w:pPr>
    <w:rPr>
      <w:b/>
      <w:bCs/>
      <w:sz w:val="25"/>
      <w:szCs w:val="25"/>
      <w:lang w:eastAsia="zh-CN"/>
    </w:rPr>
  </w:style>
  <w:style w:type="paragraph" w:styleId="HTML">
    <w:name w:val="HTML Preformatted"/>
    <w:basedOn w:val="a"/>
    <w:link w:val="HTML0"/>
    <w:rsid w:val="0014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74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6F7DA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3"/>
    <w:rsid w:val="006F7D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6F7DA9"/>
    <w:pPr>
      <w:widowControl w:val="0"/>
      <w:shd w:val="clear" w:color="auto" w:fill="FFFFFF"/>
      <w:spacing w:line="341" w:lineRule="exact"/>
      <w:ind w:hanging="820"/>
    </w:pPr>
    <w:rPr>
      <w:sz w:val="25"/>
      <w:szCs w:val="25"/>
      <w:lang w:eastAsia="zh-CN"/>
    </w:rPr>
  </w:style>
  <w:style w:type="paragraph" w:customStyle="1" w:styleId="60">
    <w:name w:val="Основной текст (6)"/>
    <w:basedOn w:val="a"/>
    <w:link w:val="6"/>
    <w:rsid w:val="006F7DA9"/>
    <w:pPr>
      <w:widowControl w:val="0"/>
      <w:shd w:val="clear" w:color="auto" w:fill="FFFFFF"/>
      <w:spacing w:line="341" w:lineRule="exact"/>
      <w:jc w:val="center"/>
    </w:pPr>
    <w:rPr>
      <w:b/>
      <w:bCs/>
      <w:sz w:val="25"/>
      <w:szCs w:val="25"/>
      <w:lang w:eastAsia="zh-CN"/>
    </w:rPr>
  </w:style>
  <w:style w:type="paragraph" w:styleId="HTML">
    <w:name w:val="HTML Preformatted"/>
    <w:basedOn w:val="a"/>
    <w:link w:val="HTML0"/>
    <w:rsid w:val="0014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74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4C67AEE46C2438ECC79692E1ACDDB" ma:contentTypeVersion="1" ma:contentTypeDescription="Создание документа." ma:contentTypeScope="" ma:versionID="00846758f6980a7bdede8c7c789b9c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3DC7-D407-48C5-894C-3D8AAFABB4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7BC2FB-0BEA-424F-AEB9-F36230535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24DC9-7202-4967-A176-4E1FAC378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289E1-07D7-4E52-812E-194DE6B7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Дмитрий Валерьевич Кузнецов</cp:lastModifiedBy>
  <cp:revision>6</cp:revision>
  <cp:lastPrinted>2016-09-07T10:57:00Z</cp:lastPrinted>
  <dcterms:created xsi:type="dcterms:W3CDTF">2019-06-18T07:37:00Z</dcterms:created>
  <dcterms:modified xsi:type="dcterms:W3CDTF">2019-06-18T11:54:00Z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0x010100AB44C67AEE46C2438ECC79692E1ACDDB</vt:lpwstr>
  </property>
</Properties>
</file>