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A6099"/>
          <w:sz w:val="28"/>
          <w:szCs w:val="28"/>
        </w:rPr>
        <w:t>Денежный рынок в системе финансовых рынков</w:t>
      </w:r>
      <w:r>
        <w:rPr>
          <w:rFonts w:ascii="Times New Roman" w:hAnsi="Times New Roman"/>
          <w:b/>
          <w:bCs/>
          <w:color w:val="2A6099"/>
          <w:sz w:val="28"/>
          <w:szCs w:val="28"/>
          <w:lang w:val="it-IT"/>
        </w:rPr>
        <w:t>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</w:t>
      </w:r>
    </w:p>
    <w:p>
      <w:pPr>
        <w:pStyle w:val="Style23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подготовки  38.04.01 «Экономика», направленность программы </w:t>
      </w:r>
    </w:p>
    <w:p>
      <w:pPr>
        <w:pStyle w:val="Style23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магистратуры «Ценные бумаги и финансовый инжиниринг»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</w:r>
    </w:p>
    <w:tbl>
      <w:tblPr>
        <w:tblStyle w:val="TableNormal"/>
        <w:tblW w:w="10184" w:type="dxa"/>
        <w:jc w:val="righ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75"/>
        <w:gridCol w:w="7545"/>
        <w:gridCol w:w="1964"/>
      </w:tblGrid>
      <w:tr>
        <w:trPr>
          <w:trHeight w:val="60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245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9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семинарах (ответы на вопросы по теме семинара, участие в дискуссии, подготовка углубленных исследований по теме семинара, интерпретация полученных результатов исследования) до 4 баллов за каждый семинар (4 часа), максимум – 24 балла. Работа на семинарах оценивается преподавателем в зависимости от активности, проявленной на семинарах и уровня подготовленных исследований и практических заданий. </w:t>
            </w:r>
            <w:r>
              <w:rPr>
                <w:rFonts w:eastAsia="Arial Unicode MS" w:cs="Times New Roman" w:ascii="Times New Roman" w:hAnsi="Times New Roman"/>
                <w:b/>
                <w:bCs/>
                <w:color w:val="000000" w:themeColor="text1"/>
                <w:kern w:val="0"/>
                <w:sz w:val="26"/>
                <w:szCs w:val="26"/>
                <w:lang w:val="ru-RU" w:eastAsia="zh-CN" w:bidi="hi-IN"/>
              </w:rPr>
              <w:t>Присутствие на семинарах без выступления и участия в дискуссиях не оценивается (0 баллов).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24 баллов</w:t>
            </w:r>
          </w:p>
        </w:tc>
      </w:tr>
      <w:tr>
        <w:trPr>
          <w:trHeight w:val="988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center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9"/>
              <w:jc w:val="both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ru-RU" w:eastAsia="zh-CN" w:bidi="hi-IN"/>
              </w:rPr>
              <w:t>Подготовка эмпирической базы для выполнения контрольной работы: обзор литературы, нормативно-правовой базы, информационных баз торговых площадок и т.д.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6 баллов</w:t>
            </w:r>
          </w:p>
        </w:tc>
      </w:tr>
      <w:tr>
        <w:trPr>
          <w:trHeight w:val="1378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Arial Unicode MS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работа.</w:t>
            </w:r>
          </w:p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 состоит из 4 расчетно-аналитических заданий и выполняется студентами в группах (не более 3- человек в группе) в 4 этапа (по мере изучения дисциплины, 1-2 недели на каждый этап) в письменном виде. На каждом этапе студенты готовят письменный ответ на вопросы контрольной работы, подтверждая свои суждения расчетами на основе данных публичных источников информации (условия для составления портфеля для моделирования и проведения расчетов определяются на 1 семинарском занятии). Каждый этап работы оценивается отдельно – до 4 баллов каждому участнику группы. В отчете по этапу необходимо указать, какую часть работы при составлении отчета выполнял каждый участник группы. Каждый участник группы оценивается индивидуально. Максимальная оценка контрольной работы – до 10 баллов каждому участнику группы.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До 40 баллов</w:t>
            </w:r>
          </w:p>
        </w:tc>
      </w:tr>
      <w:tr>
        <w:trPr>
          <w:trHeight w:val="318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До 60 баллов</w:t>
            </w:r>
          </w:p>
        </w:tc>
      </w:tr>
      <w:tr>
        <w:trPr>
          <w:trHeight w:val="31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До 100 баллов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Экзамен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 проводится по завершении изучения дисциплины в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</w:rPr>
        <w:t>письменной</w:t>
      </w:r>
      <w:r>
        <w:rPr>
          <w:rFonts w:cs="Times New Roman" w:ascii="Times New Roman" w:hAnsi="Times New Roman"/>
          <w:sz w:val="28"/>
          <w:szCs w:val="28"/>
        </w:rPr>
        <w:t xml:space="preserve"> форме.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Билет содержит 3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 (20 баллов)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 (10 баллов)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практико-ориентированное задание (30 баллов)</w:t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LibreOffice/7.0.6.2$Linux_X86_64 LibreOffice_project/00$Build-2</Application>
  <AppVersion>15.0000</AppVersion>
  <Pages>2</Pages>
  <Words>277</Words>
  <Characters>1790</Characters>
  <CharactersWithSpaces>2047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2024-09-02T15:08:00Z</dcterms:created>
  <dc:creator>Безсмертная Екатерина Рэмовна</dc:creator>
  <dc:description/>
  <dc:language>ru-RU</dc:language>
  <cp:lastModifiedBy/>
  <dcterms:modified xsi:type="dcterms:W3CDTF">2024-09-10T12:08:07Z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