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Тематика курсовых работ по дисциплине «Система государственного и муниципального управления»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/>
          <w14:ligatures w14:val="none"/>
        </w:rPr>
      </w:pPr>
      <w:r>
        <w:rPr/>
      </w:r>
    </w:p>
    <w:p>
      <w:pPr>
        <w:pStyle w:val="ListParagraph"/>
        <w:suppressAutoHyphens w:val="true"/>
        <w:spacing w:before="0" w:after="0"/>
        <w:ind w:left="426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и оценка деятельности органов государственного управления по повышению инвестиционной привлекательности региона (на примере одного из субъектов Российской Федерации)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и оценка деятельности органов государственного управления по повышению инвестиционной привлекательности Российской Федерации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и оценка результатов использования механизма государственно-частного партнерства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и оценка результатов обеспечения открытости и прозрачности деятельности органов государственного управления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и оценка эффективности применения новых инструментов социально-экономического развития Дальнего Востока и Арктики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государственной программы как механизма реализации государственной политики (на конкретном примере по выбору студента) 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Анализ деятельности органов государственной власти в сфере обеспечения технологического суверенитета Российской Федерации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Анализ зарубежного опыта реализации административных реформ государственного управления и оценка перспектив адаптации в России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административной реформы в Российской Федерации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 и оценка в</w:t>
      </w:r>
      <w:r>
        <w:rPr>
          <w:color w:val="000000" w:themeColor="text1"/>
          <w:sz w:val="28"/>
          <w:szCs w:val="28"/>
        </w:rPr>
        <w:t>заимодействи</w:t>
      </w:r>
      <w:r>
        <w:rPr>
          <w:rFonts w:eastAsia="Times New Roman" w:cs="Times New Roman"/>
          <w:color w:val="000000" w:themeColor="text1"/>
          <w:kern w:val="0"/>
          <w:sz w:val="28"/>
          <w:szCs w:val="28"/>
          <w:lang w:eastAsia="ru-RU"/>
        </w:rPr>
        <w:t>я</w:t>
      </w:r>
      <w:r>
        <w:rPr>
          <w:color w:val="000000" w:themeColor="text1"/>
          <w:sz w:val="28"/>
          <w:szCs w:val="28"/>
        </w:rPr>
        <w:t xml:space="preserve"> органов государственной власти и органов местного самоуправления при совместной реализации публичных функций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взаимодействия органов местного самоуправления с населением (на примере конкретного муниципального образования);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взаимодействия органов местного самоуправления с негосударственными некоммерческими организациями (на примере конкретного городского округа);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взаимодействия региональной и местной власти по решению вопросов непосредственного обеспечения жизнедеятельности населения муниципального образования: проблемы и пути их решения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взаимодействия региональных органов исполнительной власти и органов местного самоуправления в процессе реализации федерального проекта «Комплексная система обращения с твердыми коммунальными отходами» и разработка предложений по его совершенствованию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взаимодействия региональных органов исполнительной власти и органов местного самоуправления в процессе реализации Федерального проекта «Развитие системы оказания первичной медико-санитарной помощи» и разработка предложений по его совершенствованию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взаимодействия региональных органов исполнительной власти и органов местного самоуправления в процессе реализации федерального проекта «Развитие туристической инфраструктуры» и разработка предложений по его совершенствованию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взаимодействия региональных органов исполнительной власти и органов местного самоуправления в процессе реализации Федерального проекта «Содействие занятости» и разработка предложений по его совершенствованию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взаимодействия региональных органов исполнительной власти и органов местного самоуправления в процессе реализации федерального проекта «Формирование комфортной городской среды» и разработка предложений по его совершенствованию (на конкретном примере);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взаимодействия федеральных и региональных органов государственной власти Российской Федерации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влияния процессов урбанизации на социально-экономическое развитие региона (на примере по выбору студента)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внедрения бережливого управления в систему государственного и муниципального управления России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внедрения информационных технологий в муниципальное управление и его влияния на качество регионального управления (на конкретном примере);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 xml:space="preserve">Анализ и оценка государственного регулирования внешнеэкономической деятельности в Российской Федерации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0" w:name="_Hlk50822216"/>
      <w:r>
        <w:rPr>
          <w:rFonts w:ascii="Times New Roman" w:hAnsi="Times New Roman"/>
          <w:sz w:val="28"/>
          <w:szCs w:val="28"/>
        </w:rPr>
        <w:t xml:space="preserve">Анализ и оценка государственного регулирования </w:t>
      </w:r>
      <w:bookmarkEnd w:id="0"/>
      <w:r>
        <w:rPr>
          <w:rFonts w:ascii="Times New Roman" w:hAnsi="Times New Roman"/>
          <w:sz w:val="28"/>
          <w:szCs w:val="28"/>
        </w:rPr>
        <w:t xml:space="preserve">рекламной деятельности в городе Москве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государственного управления жилищно-коммунальным хозяйством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государственной инвестиционной политики в регионе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государственной поддержки малого и среднего предпринимательства в Российской Федерации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1" w:name="_Hlk50874538"/>
      <w:r>
        <w:rPr>
          <w:rFonts w:ascii="Times New Roman" w:hAnsi="Times New Roman"/>
          <w:sz w:val="28"/>
          <w:szCs w:val="28"/>
        </w:rPr>
        <w:t xml:space="preserve">Анализ и оценка </w:t>
      </w:r>
      <w:bookmarkEnd w:id="1"/>
      <w:r>
        <w:rPr>
          <w:rFonts w:ascii="Times New Roman" w:hAnsi="Times New Roman"/>
          <w:sz w:val="28"/>
          <w:szCs w:val="28"/>
        </w:rPr>
        <w:t>деятельности высшего должностного лица субъекта Российской Федерации (на примере конкретного региона)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и оценка деятельности многофункциональных центров оказания государственных и муниципальных услуг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деятельности органов государственной власти по обеспечению экономической безопасности региона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в сфере благоустройства территории муниципального образования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в сфере досуговой работы с населением по месту жительства (на примере конкретного муниципального образования);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по вовлечению жителей в решение вопросов местного значения и предложения по ее совершенствованию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по достижению целей стратегии социально-экономического развития муниципального образования и разработка предложений по повышению ее результативности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по повышению инвестиционной привлекательности муниципального образования и разработка предложений по её совершенствованию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по работе с детьми и молодежью по месту жительства и разработка предложений по повышению ее результативности (на примере конкретного муниципального образования);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по развитию культурно-досуговой сферы в городском/муниципальном округе и разработка предложений по её совершенствованию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по развитию физкультурно-оздоровительной и спортивной работы с населением по месту жительства (на примере конкретного муниципального образования);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Анализ и оценка использования информационных технологий в муниципальных образованиях (на примере городского/муниципального округа);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использования информационных технологий в предоставлении государственных услуг населению региона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использования механизмов муниципально-частного партнерства в развитии социальной инфраструктуры городского округа и разработка предложений по повышению его результативности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методов информирования населения о деятельности органов местного самоуправления и разработка предложений по повышению уровня информированности (на примере конкретного городского/муниципального округа);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механизма реализации государственной инвестиционной политики в городе федерального значения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механизмов реализации государственных программ субъектов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и оценка организации государственного управления развитием малого и среднего бизнеса на региональном уровне (на примере по выбору студента)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2" w:name="_Hlk50874397"/>
      <w:r>
        <w:rPr>
          <w:rFonts w:ascii="Times New Roman" w:hAnsi="Times New Roman"/>
          <w:sz w:val="28"/>
          <w:szCs w:val="28"/>
        </w:rPr>
        <w:t xml:space="preserve">Анализ и оценка </w:t>
      </w:r>
      <w:bookmarkEnd w:id="2"/>
      <w:r>
        <w:rPr>
          <w:rFonts w:ascii="Times New Roman" w:hAnsi="Times New Roman"/>
          <w:sz w:val="28"/>
          <w:szCs w:val="28"/>
        </w:rPr>
        <w:t>организации государственного управления социальной поддержкой населения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организации государственного управления устойчивым развитием территории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организации контроля и надзора на федеральном уровне власти (на примере одной из федеральных служб)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потенциальных возможностей применения технологии интернета вещей в государственном управлении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bookmarkStart w:id="3" w:name="_Hlk126355311"/>
      <w:r>
        <w:rPr>
          <w:sz w:val="28"/>
          <w:szCs w:val="28"/>
        </w:rPr>
        <w:t xml:space="preserve"> практик взаимодействия муниципалитетов и граждан с помощью цифровых инструментов, обобщение передового опыта и разработка предложений по его распространению (на конкретном примере);</w:t>
      </w:r>
      <w:bookmarkEnd w:id="3"/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применения технологий </w:t>
      </w: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и</w:t>
      </w:r>
      <w:r>
        <w:rPr>
          <w:sz w:val="28"/>
          <w:szCs w:val="28"/>
        </w:rPr>
        <w:t xml:space="preserve">скусственного </w:t>
      </w: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и</w:t>
      </w:r>
      <w:r>
        <w:rPr>
          <w:sz w:val="28"/>
          <w:szCs w:val="28"/>
        </w:rPr>
        <w:t>нтеллекта в системе государственного управления: оценка проблем и перспектив внедрения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4" w:name="_Hlk50877174"/>
      <w:r>
        <w:rPr>
          <w:rFonts w:ascii="Times New Roman" w:hAnsi="Times New Roman"/>
          <w:sz w:val="28"/>
          <w:szCs w:val="28"/>
        </w:rPr>
        <w:t xml:space="preserve">Анализ и оценка применения </w:t>
      </w:r>
      <w:bookmarkEnd w:id="4"/>
      <w:r>
        <w:rPr>
          <w:rFonts w:ascii="Times New Roman" w:hAnsi="Times New Roman"/>
          <w:sz w:val="28"/>
          <w:szCs w:val="28"/>
        </w:rPr>
        <w:t>технологий территориального маркетинга в региональном управлении (на примере по выбору студента)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процессов укрупнения муниципальных образований и его влияния на уровень регионального развития (на конкретном примере).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работы с обращениями граждан в федеральных органах исполнительной власти (на примере конкретного органа исполнительной власти)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развития территориального общественного самоуправления в городах (на конкретных примерах);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реализации государственной социальной политики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реализации демографической политики в субъекте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реализации национальных проектов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реализации стратегии инновационного развития региона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региональной политики по развитию малого и среднего предпринимательства (на примере субъекта Российской Федерации)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результативности деятельности государственного органа исполнительной власти (на примере по выбору студента)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результатов взаимодействия государственных органов исполнительной власти с населением (на примере по выбору студента) 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Анализ и оценка результатов взаимодействия органов государственной власти и бизнес-сообщества в Российской Федерации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взаимодействия органов государственной власти с негосударственными некоммерческими организациями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взаимодействия региональных властей и бизнеса в реализации программ социального развития региона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взаимодействия региональных властей и бизнеса в ускорении инновационного развития региона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результатов внедрения информационно-коммуникационных технологий в работу с обращениями граждан в муниципальных органах власти (на примере конкретного муниципального образования);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государственного антикризисного управления в субъектах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и оценка результатов государственного управления в сфере регионального развития (на примере по выбору студента)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государственного управления занятостью населения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государственного управления развитием потребительского рынка товаров и услуг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государственного управления социально-культурной сферой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государственного управления сферой обращения с твердыми коммунальными отходами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государственной молодежной политики в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государственной поддержки малообеспеченных групп населения в субъектах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5" w:name="_Hlk50876723"/>
      <w:r>
        <w:rPr>
          <w:rFonts w:ascii="Times New Roman" w:hAnsi="Times New Roman"/>
          <w:sz w:val="28"/>
          <w:szCs w:val="28"/>
        </w:rPr>
        <w:t xml:space="preserve">Анализ и оценка результатов </w:t>
      </w:r>
      <w:bookmarkEnd w:id="5"/>
      <w:r>
        <w:rPr>
          <w:rFonts w:ascii="Times New Roman" w:hAnsi="Times New Roman"/>
          <w:sz w:val="28"/>
          <w:szCs w:val="28"/>
        </w:rPr>
        <w:t>государственной поддержки реального сектора экономики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6" w:name="_Hlk50820639"/>
      <w:r>
        <w:rPr>
          <w:rFonts w:ascii="Times New Roman" w:hAnsi="Times New Roman"/>
          <w:sz w:val="28"/>
          <w:szCs w:val="28"/>
        </w:rPr>
        <w:t xml:space="preserve">Анализ и оценка результатов государственной политики </w:t>
      </w:r>
      <w:bookmarkEnd w:id="6"/>
      <w:r>
        <w:rPr>
          <w:rFonts w:ascii="Times New Roman" w:hAnsi="Times New Roman"/>
          <w:sz w:val="28"/>
          <w:szCs w:val="28"/>
        </w:rPr>
        <w:t>в области развития государственно-частного партнерства в субъекте Российской Федерации (по материалам субъекта Российской Федерации)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государственной политики в сфере занятости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7" w:name="bookmark44"/>
      <w:r>
        <w:rPr>
          <w:rFonts w:ascii="Times New Roman" w:hAnsi="Times New Roman"/>
          <w:sz w:val="28"/>
          <w:szCs w:val="28"/>
        </w:rPr>
        <w:t xml:space="preserve">Анализ и оценка результатов государственной экономической </w:t>
      </w:r>
      <w:bookmarkEnd w:id="7"/>
      <w:r>
        <w:rPr>
          <w:rFonts w:ascii="Times New Roman" w:hAnsi="Times New Roman"/>
          <w:sz w:val="28"/>
          <w:szCs w:val="28"/>
        </w:rPr>
        <w:t>политики в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деятельности органов государственной власти по развитию общего среднего образования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деятельности органов государственной власти по развитию профессионального образования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деятельности особых экономических зон как инструмента устойчивого развития территорий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деятельности территорий опережающего развития как инструмента устойчивого развития субъектов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использования кластерного подхода в стратегическом управлении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и оценка результатов использования механизма государственно-частного партнерства в управлении социально-экономическим развитием региона (на примере субъекта Российской Федерации)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результатов использования механизмов государственно (муниципально)-частного партнерства в развитии городских агломераций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использования механизмов государственно-частного партнерства в развитии социальной сферы региона (на примере субъекта Российской Федерации)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использования регионального бенчмаркинга в системе регионального управления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применения программно-целевого подхода в государственном управлении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и оценка результатов разработки и реализации государственной региональной политики (на примере по выбору студента)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результатов реализации государственной молодежной политики в муниципальном образовании (на примере конкретного городского округа);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реализации государственной политики в области транспорта (на примере отрасли транспорта)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реализации государственной политики в сфере топливно-энергетического комплекса (на примере одной из отраслей по выбору студента)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 xml:space="preserve">Анализ и оценка результатов реализации государственной политики по развитию агропромышленного комплекса региона (на примере по выбору студента)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реализации государственной программы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реализации государственной экологической политики Российской Федерации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реализации демографической политики Российской Федерации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реализации миграционной политики в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8" w:name="_Hlk50823333"/>
      <w:r>
        <w:rPr>
          <w:rFonts w:ascii="Times New Roman" w:hAnsi="Times New Roman"/>
          <w:sz w:val="28"/>
          <w:szCs w:val="28"/>
        </w:rPr>
        <w:t xml:space="preserve">Анализ и оценка результатов </w:t>
      </w:r>
      <w:bookmarkEnd w:id="8"/>
      <w:r>
        <w:rPr>
          <w:rFonts w:ascii="Times New Roman" w:hAnsi="Times New Roman"/>
          <w:sz w:val="28"/>
          <w:szCs w:val="28"/>
        </w:rPr>
        <w:t>реализации региональной инновационной политики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реализации стратегии социально-экономического развития региона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реализации стратегии социально-экономического развития региона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реализации федерального проекта «Цифровое государственное управление»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реализация государственной экологической политики (на примере субъекта Российской Федерации)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стратегического управления социально-экономическим развитием региона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9" w:name="_Hlk50819935"/>
      <w:r>
        <w:rPr>
          <w:rFonts w:ascii="Times New Roman" w:hAnsi="Times New Roman"/>
          <w:sz w:val="28"/>
          <w:szCs w:val="28"/>
        </w:rPr>
        <w:t xml:space="preserve">Анализ и оценка результатов </w:t>
      </w:r>
      <w:bookmarkEnd w:id="9"/>
      <w:r>
        <w:rPr>
          <w:rFonts w:ascii="Times New Roman" w:hAnsi="Times New Roman"/>
          <w:sz w:val="28"/>
          <w:szCs w:val="28"/>
        </w:rPr>
        <w:t>управления социально-экономическим развитием региона (на примере субъекта Российской Федерации)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результатов формирования и реализации политики в сфере энергосбережения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системы контроля и надзора в сфере здравоохранения (на примере Росздравнадзора)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системы контроля качества оказания государственных и муниципальных услуг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системы профессионального развития муниципальных служащих в контексте цифровой трансформации: проблемы и пути их решения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современного уровня государственной поддержки сельхозпроизводителей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современного уровня дифференциации регионов по уровню социально-экономического развития (на примере по выбору студента)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Анализ и оценка современного уровня информационного обеспечения деятельности муниципального органа власти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современного уровня информационного обеспечения деятельности федерального органа власти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и оценка современного уровня развития и государственного управления здравоохранением (на материалах министерства / на примере субъекта РФ) 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Анализ и оценка современного уровня социально-экономического развития городского поселения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современной системы организации управления государственной собственностью (на примере по выбору студента)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sz w:val="28"/>
          <w:szCs w:val="28"/>
        </w:rPr>
        <w:t xml:space="preserve"> соответствия кадрового обеспечения органов местного самоуправления предъявляемым требованиям</w:t>
      </w:r>
      <w:r>
        <w:rPr>
          <w:rFonts w:eastAsia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sz w:val="28"/>
          <w:szCs w:val="28"/>
        </w:rPr>
        <w:t>(на конкретном примере);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Анализ и оценка технологии управления социально-экономическим развитием в муниципальных образованиях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управления развитием муниципальных образований в составе крупных российских агломераций и направления его совершенствования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управления развитием сферы благоустройства территории города и предложения по его совершенствованию (на примере конкретного городского округа);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уровня социально-экономического развития проблемных территорий Российской Федерации (на примере по выбору студента)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color w:val="000000" w:themeColor="text1"/>
          <w:sz w:val="28"/>
          <w:szCs w:val="28"/>
        </w:rPr>
        <w:t xml:space="preserve"> участия населения в осуществлении местного самоуправления в современных условиях: оценка, проблемы и предложения по развитию форм демократии (на примере муниципальных образований конкретного субъекта РФ);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форм и результатов взаимодействия органов государственной власти и средств массовой информации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функционирования информационных систем государственного управления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 xml:space="preserve">Анализ и оценка </w:t>
      </w:r>
      <w:r>
        <w:rPr>
          <w:rFonts w:ascii="Times New Roman" w:hAnsi="Times New Roman"/>
          <w:sz w:val="28"/>
          <w:szCs w:val="28"/>
        </w:rPr>
        <w:t>эффективности государственного управления финансами на региональном уровне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rFonts w:ascii="Times New Roman" w:hAnsi="Times New Roman"/>
          <w:sz w:val="28"/>
          <w:szCs w:val="28"/>
        </w:rPr>
        <w:t xml:space="preserve"> эффективности деятельности государственного органа исполнительной власти (на примере по выбору студента)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 и оценка</w:t>
      </w:r>
      <w:r>
        <w:rPr>
          <w:color w:val="000000" w:themeColor="text1"/>
          <w:sz w:val="28"/>
          <w:szCs w:val="28"/>
        </w:rPr>
        <w:t xml:space="preserve"> эффективности деятельности органов местного самоуправления по решению вопросов местного значения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эффективности и результативности механизма формирования особых экономических зон в Российской Федерации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оценка эффективности инструментов государственной поддержки малого и среднего предпринимательства (на примере по выбору студента)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и разработка предложений по развитию инициативного бюджетирования в муниципальном образовании (на конкретном примере);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bookmarkStart w:id="10" w:name="_Hlk104813476"/>
      <w:r>
        <w:rPr>
          <w:sz w:val="28"/>
          <w:szCs w:val="28"/>
        </w:rPr>
        <w:t>Анализ и совершенствование организационной структуры федерального органа исполнительной власти (на примере по выбору студента)</w:t>
      </w:r>
      <w:bookmarkEnd w:id="10"/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Анализ механизмов и оценка перспектив взаимодействия органов государственной власти и бизнеса в условиях антироссийских санкций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Анализ муниципальной практики формирования и реализации программ развития городского округа и разработка предложений по её совершенствованию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Анализ организации и методов информирования населения о деятельности органов государственной власти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 xml:space="preserve">Анализ применения цифровых технологий в государственном управлении 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 xml:space="preserve">Анализ реализации </w:t>
      </w:r>
      <w:r>
        <w:rPr>
          <w:sz w:val="28"/>
          <w:szCs w:val="28"/>
          <w:lang w:val="en-US"/>
        </w:rPr>
        <w:t>ESG</w:t>
      </w:r>
      <w:r>
        <w:rPr>
          <w:sz w:val="28"/>
          <w:szCs w:val="28"/>
        </w:rPr>
        <w:t>-принципов в системе государственного управления России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Анализ системы оценки эффективности и результативности деятельности государственных служащих в Российской Федерации 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Исследование управления жилищно-коммунальным комплексом муниципального образования и разработка предложений по его совершенствованию (на конкретном примере);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Оценка использования механизмов межмуниципального сотрудничества в условиях реализации стратегии социально-экономического развития территории субъекта РФ и определение направлений их дальнейшего развития (на конкретном примере);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 xml:space="preserve">Оценка перспектив применения технологии </w:t>
      </w:r>
      <w:r>
        <w:rPr>
          <w:sz w:val="28"/>
          <w:szCs w:val="28"/>
          <w:lang w:val="en-US"/>
        </w:rPr>
        <w:t>Big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Data</w:t>
      </w:r>
      <w:r>
        <w:rPr>
          <w:sz w:val="28"/>
          <w:szCs w:val="28"/>
        </w:rPr>
        <w:t xml:space="preserve"> в системе государственного управления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bookmarkStart w:id="11" w:name="_Hlk104402551"/>
      <w:r>
        <w:rPr>
          <w:rFonts w:ascii="Times New Roman" w:hAnsi="Times New Roman"/>
          <w:sz w:val="28"/>
          <w:szCs w:val="28"/>
        </w:rPr>
        <w:t>Оценка результатов развития инициативного бюджетирования в муниципальном образовании (на конкретном примере)</w:t>
      </w:r>
      <w:bookmarkEnd w:id="11"/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Оценка современного состояния развития ТОС в муниципальных округах (на конкретном примере);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Оценка уровня автоматизации и цифровизации управленческих процессов в органах местного самоуправления, развития информационных систем и инновационных механизмов обеспечения обратной связи с жителями муниципальных образований и разработка предложений по повышению этого уровня;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Оценка уровня развития</w:t>
      </w:r>
      <w:bookmarkStart w:id="12" w:name="_GoBack"/>
      <w:bookmarkEnd w:id="12"/>
      <w:r>
        <w:rPr>
          <w:sz w:val="28"/>
          <w:szCs w:val="28"/>
        </w:rPr>
        <w:t xml:space="preserve"> территориального общественного самоуправления в субъекте РФ 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Оценка уровня сбалансированности объема и финансового обеспечения расходных полномочий муниципалитетов и разработка предложений по его повышению (на конкретном примере);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Оценка участия органов местного самоуправления в реализации национальных и региональных проектов и (на конкретном примере);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Оценка финансового обеспечения исполнения публичных функций органами местного самоуправления и направления повышения финансового потенциала муниципальных образований (на конкретных примерах);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color w:val="000000" w:themeColor="text1"/>
          <w:sz w:val="28"/>
          <w:szCs w:val="28"/>
        </w:rPr>
        <w:t>Оценка экономического обеспечения местного самоуправления по решению вопросов местного значения и разработка предложений по его укреплению (на конкретных примерах);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Реализация концепции «умный город» в сфере жилищно-коммунального хозяйства городского поселения (на конкретном примере); 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Сравнительный анализ и оценка систем государственного управления в зарубежных странах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Сравнительный анализ инструментов государственного управления устойчивым развитием территорий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Сравнительный анализ форм взаимодействия органов публичной власти в Российской Федерации</w:t>
      </w:r>
    </w:p>
    <w:p>
      <w:pPr>
        <w:pStyle w:val="NormalWeb"/>
        <w:widowControl/>
        <w:numPr>
          <w:ilvl w:val="0"/>
          <w:numId w:val="1"/>
        </w:numPr>
        <w:suppressAutoHyphens w:val="true"/>
        <w:bidi w:val="0"/>
        <w:spacing w:lineRule="auto" w:line="276" w:beforeAutospacing="0" w:before="0" w:afterAutospacing="0" w:after="0"/>
        <w:ind w:left="0" w:right="0" w:firstLine="680"/>
        <w:jc w:val="both"/>
        <w:rPr/>
      </w:pPr>
      <w:r>
        <w:rPr>
          <w:sz w:val="28"/>
          <w:szCs w:val="28"/>
        </w:rPr>
        <w:t>Становление цифрового пространства в муниципальном управлении (на примере субъекта РФ);</w:t>
      </w:r>
    </w:p>
    <w:p>
      <w:pPr>
        <w:pStyle w:val="NormalWeb"/>
        <w:spacing w:lineRule="auto" w:line="276" w:beforeAutospacing="0" w:before="0" w:afterAutospacing="0" w:after="0"/>
        <w:ind w:left="1069" w:hanging="0"/>
        <w:jc w:val="both"/>
        <w:rPr>
          <w:color w:val="000000" w:themeColor="text1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ListParagraph"/>
    <w:uiPriority w:val="34"/>
    <w:qFormat/>
    <w:rsid w:val="00676f5f"/>
    <w:rPr>
      <w:rFonts w:ascii="Calibri" w:hAnsi="Calibri" w:eastAsia="Calibri" w:cs="Times New Roman"/>
    </w:rPr>
  </w:style>
  <w:style w:type="character" w:styleId="Style15" w:customStyle="1">
    <w:name w:val="Основной текст с отступом Знак"/>
    <w:basedOn w:val="DefaultParagraphFont"/>
    <w:qFormat/>
    <w:rsid w:val="00cc72df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styleId="3" w:customStyle="1">
    <w:name w:val="Основной текст с отступом 3 Знак"/>
    <w:basedOn w:val="DefaultParagraphFont"/>
    <w:link w:val="BodyTextIndent3"/>
    <w:qFormat/>
    <w:rsid w:val="00cc72df"/>
    <w:rPr>
      <w:rFonts w:ascii="Times New Roman" w:hAnsi="Times New Roman" w:eastAsia="Times New Roman" w:cs="Times New Roman"/>
      <w:i/>
      <w:kern w:val="0"/>
      <w:sz w:val="28"/>
      <w:szCs w:val="28"/>
      <w:lang w:eastAsia="ru-RU"/>
      <w14:ligatures w14:val="none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qFormat/>
    <w:rsid w:val="00fb0ae1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link w:val="Style14"/>
    <w:uiPriority w:val="34"/>
    <w:qFormat/>
    <w:rsid w:val="00676f5f"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22">
    <w:name w:val="Body Text Indent"/>
    <w:basedOn w:val="Normal"/>
    <w:link w:val="Style15"/>
    <w:rsid w:val="00cc72df"/>
    <w:pPr>
      <w:spacing w:lineRule="auto" w:line="240" w:before="0" w:after="0"/>
      <w:ind w:firstLine="540"/>
      <w:jc w:val="both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3"/>
    <w:qFormat/>
    <w:rsid w:val="00cc72df"/>
    <w:pPr>
      <w:spacing w:lineRule="auto" w:line="240" w:before="0" w:after="0"/>
      <w:ind w:firstLine="540"/>
      <w:jc w:val="both"/>
    </w:pPr>
    <w:rPr>
      <w:rFonts w:ascii="Times New Roman" w:hAnsi="Times New Roman" w:eastAsia="Times New Roman" w:cs="Times New Roman"/>
      <w:i/>
      <w:kern w:val="0"/>
      <w:sz w:val="28"/>
      <w:szCs w:val="28"/>
      <w:lang w:eastAsia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LibreOffice/7.3.5.2$Linux_X86_64 LibreOffice_project/184fe81b8c8c30d8b5082578aee2fed2ea847c01</Application>
  <AppVersion>15.0000</AppVersion>
  <Pages>11</Pages>
  <Words>2611</Words>
  <Characters>19499</Characters>
  <CharactersWithSpaces>21827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2023-02-06T06:35:00Z</dcterms:created>
  <dc:creator>Разумова Екатерина Валерьевна</dc:creator>
  <dc:description/>
  <dc:language>ru-RU</dc:language>
  <cp:lastModifiedBy/>
  <dcterms:modified xsi:type="dcterms:W3CDTF">2023-02-07T16:32:26Z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