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471A" w14:textId="472FD73D" w:rsidR="00EE399E" w:rsidRDefault="000D739C" w:rsidP="000D7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9C">
        <w:rPr>
          <w:rFonts w:ascii="Times New Roman" w:hAnsi="Times New Roman" w:cs="Times New Roman"/>
          <w:sz w:val="28"/>
          <w:szCs w:val="28"/>
        </w:rPr>
        <w:t>СПИСОК ВОПРОСОВ ДЛЯ ПОДГОТОВКИ</w:t>
      </w:r>
    </w:p>
    <w:p w14:paraId="11611003" w14:textId="6FC89C6C" w:rsidR="000D739C" w:rsidRDefault="000D739C" w:rsidP="000D73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5D8F6" w14:textId="18A9CC42" w:rsidR="007446F5" w:rsidRPr="008468D6" w:rsidRDefault="007446F5" w:rsidP="000D7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D6">
        <w:rPr>
          <w:rFonts w:ascii="Times New Roman" w:hAnsi="Times New Roman" w:cs="Times New Roman"/>
          <w:b/>
          <w:sz w:val="28"/>
          <w:szCs w:val="28"/>
        </w:rPr>
        <w:t>1. Вопросы на основе содержания общепрофессиональных дисциплин направления подготовки</w:t>
      </w:r>
    </w:p>
    <w:p w14:paraId="20848AFF" w14:textId="6FCF0B20" w:rsidR="000D739C" w:rsidRPr="007446F5" w:rsidRDefault="00E40E45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Новая экономика как часть постиндустриальной экономики. Инновации в новой экономике.</w:t>
      </w:r>
    </w:p>
    <w:p w14:paraId="74EAC37B" w14:textId="1F93D1C4" w:rsidR="00E40E45" w:rsidRPr="007446F5" w:rsidRDefault="00E40E45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Современная фирма. Особенности фирменной структуры российской экономики.</w:t>
      </w:r>
    </w:p>
    <w:p w14:paraId="04E3114A" w14:textId="5B4D5358" w:rsidR="00E40E45" w:rsidRPr="007446F5" w:rsidRDefault="00E40E45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Тенденции развития крупного бизнеса. Современные подходы к теории крупной корпорации.</w:t>
      </w:r>
    </w:p>
    <w:p w14:paraId="4083305C" w14:textId="19276380" w:rsidR="00E40E45" w:rsidRPr="007446F5" w:rsidRDefault="00E40E45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Средний бизнес и его роль в экономике страны. Принципы построения стратегии быстрорастущими фирмами. Малый бизнес в современных условиях.</w:t>
      </w:r>
    </w:p>
    <w:p w14:paraId="1720F6BA" w14:textId="534120F5" w:rsidR="00E40E45" w:rsidRPr="007446F5" w:rsidRDefault="00BA0D1F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 xml:space="preserve">Современная теория фирмы (неоклассический и </w:t>
      </w:r>
      <w:proofErr w:type="spellStart"/>
      <w:r w:rsidRPr="007446F5">
        <w:rPr>
          <w:rFonts w:ascii="Times New Roman" w:hAnsi="Times New Roman" w:cs="Times New Roman"/>
          <w:sz w:val="28"/>
          <w:szCs w:val="28"/>
        </w:rPr>
        <w:t>неоинституциональный</w:t>
      </w:r>
      <w:proofErr w:type="spellEnd"/>
      <w:r w:rsidRPr="007446F5">
        <w:rPr>
          <w:rFonts w:ascii="Times New Roman" w:hAnsi="Times New Roman" w:cs="Times New Roman"/>
          <w:sz w:val="28"/>
          <w:szCs w:val="28"/>
        </w:rPr>
        <w:t xml:space="preserve"> подход).</w:t>
      </w:r>
    </w:p>
    <w:p w14:paraId="049A27A1" w14:textId="61502A81" w:rsidR="00BA0D1F" w:rsidRPr="007446F5" w:rsidRDefault="00BA0D1F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Значение трансакционных издержек. Трансакционные издержки как фактор отбора экономических институтов.</w:t>
      </w:r>
    </w:p>
    <w:p w14:paraId="5B7B7293" w14:textId="67B16076" w:rsidR="00BA0D1F" w:rsidRPr="007446F5" w:rsidRDefault="00BA0D1F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 xml:space="preserve">Теория потребительского поведения: </w:t>
      </w:r>
      <w:proofErr w:type="spellStart"/>
      <w:r w:rsidRPr="007446F5">
        <w:rPr>
          <w:rFonts w:ascii="Times New Roman" w:hAnsi="Times New Roman" w:cs="Times New Roman"/>
          <w:sz w:val="28"/>
          <w:szCs w:val="28"/>
        </w:rPr>
        <w:t>ординалистский</w:t>
      </w:r>
      <w:proofErr w:type="spellEnd"/>
      <w:r w:rsidRPr="007446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46F5">
        <w:rPr>
          <w:rFonts w:ascii="Times New Roman" w:hAnsi="Times New Roman" w:cs="Times New Roman"/>
          <w:sz w:val="28"/>
          <w:szCs w:val="28"/>
        </w:rPr>
        <w:t>кардиналистский</w:t>
      </w:r>
      <w:proofErr w:type="spellEnd"/>
      <w:r w:rsidRPr="007446F5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14:paraId="1ACE84BB" w14:textId="243E51A1" w:rsidR="00BA0D1F" w:rsidRPr="007446F5" w:rsidRDefault="00BA0D1F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Рыночная структура: понятие и определяющие признаки.</w:t>
      </w:r>
    </w:p>
    <w:p w14:paraId="05CE46E3" w14:textId="25BFA909" w:rsidR="00BA0D1F" w:rsidRPr="007446F5" w:rsidRDefault="00BA0D1F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Совершенная конкуренция как идеальная модель децентрализованной экономики.</w:t>
      </w:r>
    </w:p>
    <w:p w14:paraId="44C47BA3" w14:textId="3106E551" w:rsidR="00BA0D1F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Ценовая и неценовая конкуренция. Преобладание неценовой конкуренции в современных условиях.</w:t>
      </w:r>
    </w:p>
    <w:p w14:paraId="70981396" w14:textId="0B6A0D6C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Олигополия. Стратегия фирмы в олигополистической отрасли.</w:t>
      </w:r>
    </w:p>
    <w:p w14:paraId="7E91963D" w14:textId="096F34E5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Монополия: понятие, условия существования, факторы монопольной власти.</w:t>
      </w:r>
    </w:p>
    <w:p w14:paraId="0A4CF269" w14:textId="4481D870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Монопсония и ее роль в российской экономике.</w:t>
      </w:r>
    </w:p>
    <w:p w14:paraId="445911AF" w14:textId="61264047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Ценовая дискриминация и ее роль в современной экономике.</w:t>
      </w:r>
    </w:p>
    <w:p w14:paraId="137CD05E" w14:textId="458920C4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Парето-оптимальные состояния экономики и их характеристики.</w:t>
      </w:r>
    </w:p>
    <w:p w14:paraId="38BACBA2" w14:textId="4FBF80D4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Экономика с общественными благами. Характеристика эффективных состояний экономики с общественными благами.</w:t>
      </w:r>
    </w:p>
    <w:p w14:paraId="00BE320A" w14:textId="51AE72DA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Система счетов национального дохода: основные показатели и их взаимосвязь.</w:t>
      </w:r>
    </w:p>
    <w:p w14:paraId="2C78FD92" w14:textId="1752B5BD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Эволюция научных подходов к моделированию потребления. Функция потребления Дж. М. Кейнса.</w:t>
      </w:r>
    </w:p>
    <w:p w14:paraId="5B12C230" w14:textId="057D8DC4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Мультипликационные эффекты в национальной экономике.</w:t>
      </w:r>
    </w:p>
    <w:p w14:paraId="3CB4417D" w14:textId="2B6D185A" w:rsidR="00DF0AA4" w:rsidRPr="007446F5" w:rsidRDefault="00DF0AA4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lastRenderedPageBreak/>
        <w:t>Денежный рынок. Эволюция научных подходов к моделированию спроса на деньги.</w:t>
      </w:r>
    </w:p>
    <w:p w14:paraId="134BF7FC" w14:textId="299F161B" w:rsidR="00DF0AA4" w:rsidRPr="007446F5" w:rsidRDefault="0006432A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Кейнсианские модели экономического роста. Эффекты мультипликатора и акселератора.</w:t>
      </w:r>
    </w:p>
    <w:p w14:paraId="571FD7F5" w14:textId="616D1E55" w:rsidR="0006432A" w:rsidRPr="007446F5" w:rsidRDefault="0006432A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6F5">
        <w:rPr>
          <w:rFonts w:ascii="Times New Roman" w:hAnsi="Times New Roman" w:cs="Times New Roman"/>
          <w:sz w:val="28"/>
          <w:szCs w:val="28"/>
        </w:rPr>
        <w:t>Неокейнсианские</w:t>
      </w:r>
      <w:proofErr w:type="spellEnd"/>
      <w:r w:rsidRPr="007446F5">
        <w:rPr>
          <w:rFonts w:ascii="Times New Roman" w:hAnsi="Times New Roman" w:cs="Times New Roman"/>
          <w:sz w:val="28"/>
          <w:szCs w:val="28"/>
        </w:rPr>
        <w:t xml:space="preserve"> модели экономического роста: обоснование неустойчивости роста и необходимости его государственного регулирования.</w:t>
      </w:r>
    </w:p>
    <w:p w14:paraId="32318E67" w14:textId="057ED217" w:rsidR="00236585" w:rsidRPr="007446F5" w:rsidRDefault="00236585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Монетаристская модель цикла. Колебания предложения денег как источник циклических колебаний.</w:t>
      </w:r>
    </w:p>
    <w:p w14:paraId="6D4E6AA9" w14:textId="7CC8582A" w:rsidR="00236585" w:rsidRDefault="00236585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Технологические уклады и «длинные волны». Гипотеза «больших волн».</w:t>
      </w:r>
    </w:p>
    <w:p w14:paraId="2CEB4BB4" w14:textId="156A6FD9" w:rsidR="007446F5" w:rsidRDefault="007446F5" w:rsidP="00744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6F5">
        <w:rPr>
          <w:rFonts w:ascii="Times New Roman" w:hAnsi="Times New Roman" w:cs="Times New Roman"/>
          <w:sz w:val="28"/>
          <w:szCs w:val="28"/>
        </w:rPr>
        <w:t>Стабильность институтов и институциональные изменения. Основные источники институциональных изменений.</w:t>
      </w:r>
    </w:p>
    <w:p w14:paraId="2F519CC4" w14:textId="65E7B6F2" w:rsidR="002709F8" w:rsidRDefault="002709F8" w:rsidP="002709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25EF9" w14:textId="12E415C9" w:rsidR="002709F8" w:rsidRPr="008468D6" w:rsidRDefault="001B5254" w:rsidP="001B5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D6">
        <w:rPr>
          <w:rFonts w:ascii="Times New Roman" w:hAnsi="Times New Roman" w:cs="Times New Roman"/>
          <w:b/>
          <w:sz w:val="28"/>
          <w:szCs w:val="28"/>
        </w:rPr>
        <w:t>2. Вопросы на основе профессиональной части содержания магистерской программы «Налоги. Бухгалтерский учет. Налоговый консалтинг»</w:t>
      </w:r>
    </w:p>
    <w:p w14:paraId="3A8368E2" w14:textId="5743AE19" w:rsidR="001B525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68D6">
        <w:rPr>
          <w:rFonts w:ascii="Times New Roman" w:hAnsi="Times New Roman" w:cs="Times New Roman"/>
          <w:sz w:val="28"/>
          <w:szCs w:val="28"/>
        </w:rPr>
        <w:t>Влияние налога на прибыль организаций на инвестиционные процессы и процесс наращивания капитала организации.</w:t>
      </w:r>
    </w:p>
    <w:p w14:paraId="5A7AD969" w14:textId="7C7CE1ED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Оптимизация и злоупотребления при применении установленного механизма возмещения уплаченной суммы налога на добавленную стоимость.</w:t>
      </w:r>
    </w:p>
    <w:p w14:paraId="5DF444F8" w14:textId="55E213B1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Варианты применения амортизационной политики для оптимизации величины затрат при обеспечении корпоративных интересов в обновлении основных фондов.</w:t>
      </w:r>
    </w:p>
    <w:p w14:paraId="5D1A4FC1" w14:textId="376FBD39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Тенденции и основные направления совершенствования налога на прибыль организаций.</w:t>
      </w:r>
    </w:p>
    <w:p w14:paraId="54BAFAAA" w14:textId="015A5706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Значение и сущность специальных налоговых режимов в современной экономике.</w:t>
      </w:r>
    </w:p>
    <w:p w14:paraId="01C937A8" w14:textId="7F975D52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Налоговая нагрузка: методики расчета, взаимосвязь с активностью предпринимательской деятельности.</w:t>
      </w:r>
    </w:p>
    <w:p w14:paraId="6CE41251" w14:textId="32A9101F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Налог на имущество организаций: практика и проблемы применения, пути реформирование.</w:t>
      </w:r>
    </w:p>
    <w:p w14:paraId="1ADC5001" w14:textId="7FBB3959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Налог на добавленную стоимость: проблемы формирования налоговой базы и применения налоговых вычетов.</w:t>
      </w:r>
    </w:p>
    <w:p w14:paraId="4C93FA13" w14:textId="0414D08A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Сравнительный анализ налоговых систем государств для целей международного налогового планирования.</w:t>
      </w:r>
    </w:p>
    <w:p w14:paraId="2D90FF66" w14:textId="480F8255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Основные проблемы и принципы международного налогового консультирования.</w:t>
      </w:r>
    </w:p>
    <w:p w14:paraId="1607E553" w14:textId="64D3229E" w:rsidR="002A2C24" w:rsidRPr="008468D6" w:rsidRDefault="002A2C24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lastRenderedPageBreak/>
        <w:t>Налоговое структурирование, налоговые риски и налоговая ответственность при различных формах реорганизации.</w:t>
      </w:r>
    </w:p>
    <w:p w14:paraId="12E40522" w14:textId="50F09223" w:rsidR="002A2C24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Налоговые последствия для организации, находящейся в стадии банкротства.</w:t>
      </w:r>
    </w:p>
    <w:p w14:paraId="38232FF8" w14:textId="14222BCB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Характеристика методов анализа и планирования налоговых платежей компании.</w:t>
      </w:r>
    </w:p>
    <w:p w14:paraId="7DF6C363" w14:textId="340E7162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Соотношение налоговых рисков и финансовых рисков. Влияние налоговых рисков на деятельность компании.</w:t>
      </w:r>
    </w:p>
    <w:p w14:paraId="29209864" w14:textId="4031103C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Необоснованная налоговая выгода как предел оптимизации налогообложения.</w:t>
      </w:r>
    </w:p>
    <w:p w14:paraId="3548A637" w14:textId="623A2121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Количественный и качественный методы оценки налогового риска.</w:t>
      </w:r>
    </w:p>
    <w:p w14:paraId="6B15E6CC" w14:textId="2D386124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Применение риск-ориентированного подхода в налоговом администрировании.</w:t>
      </w:r>
    </w:p>
    <w:p w14:paraId="66F365F6" w14:textId="4BB298DC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Правовые и экономические основы деятельности налогового консультанта, критерии эффективности оказания услуг, ответственности и защиты от рисков.</w:t>
      </w:r>
    </w:p>
    <w:p w14:paraId="1D9F05DE" w14:textId="4BC1EDC9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Современное состояние и перспективы развития налогового консультирования в зарубежных странах и в России.</w:t>
      </w:r>
    </w:p>
    <w:p w14:paraId="69CC1980" w14:textId="08B436F3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Классификация налоговых рисков, подходы к их измерению и снижению.</w:t>
      </w:r>
    </w:p>
    <w:p w14:paraId="04ACB623" w14:textId="1E0C4DAC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Соотношение бухгалтерского и налогового учета: проблемы сближения и пути их решения.</w:t>
      </w:r>
    </w:p>
    <w:p w14:paraId="590C82C5" w14:textId="3E5B0C5C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Оценка влияния договорной политики на формирование налоговых обязательств хозяйствующего субъекта и построение взаимоотношений с контрагентами.</w:t>
      </w:r>
    </w:p>
    <w:p w14:paraId="45F6087A" w14:textId="752387F6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Налоговый потенциал организации: понятие, экономическое содержание, практическое использование.</w:t>
      </w:r>
    </w:p>
    <w:p w14:paraId="6F23EDF6" w14:textId="0485FA16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Подходы к оценке эффективности разработанных налоговым консультантом рекомендаций.</w:t>
      </w:r>
    </w:p>
    <w:p w14:paraId="22D7C8DA" w14:textId="6AAA0BA0" w:rsidR="00194047" w:rsidRPr="008468D6" w:rsidRDefault="00194047" w:rsidP="0084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Роль акциза в регулировании доходности производства продукции. Проблемы и направления развития акцизного обложения в России.</w:t>
      </w:r>
      <w:bookmarkEnd w:id="0"/>
    </w:p>
    <w:sectPr w:rsidR="00194047" w:rsidRPr="008468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91D72"/>
    <w:multiLevelType w:val="hybridMultilevel"/>
    <w:tmpl w:val="BDC2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3AC3"/>
    <w:multiLevelType w:val="hybridMultilevel"/>
    <w:tmpl w:val="1326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9E"/>
    <w:rsid w:val="0006432A"/>
    <w:rsid w:val="000D739C"/>
    <w:rsid w:val="00194047"/>
    <w:rsid w:val="001B5254"/>
    <w:rsid w:val="00236585"/>
    <w:rsid w:val="002709F8"/>
    <w:rsid w:val="002A2C24"/>
    <w:rsid w:val="007446F5"/>
    <w:rsid w:val="008468D6"/>
    <w:rsid w:val="00BA0D1F"/>
    <w:rsid w:val="00DF0AA4"/>
    <w:rsid w:val="00E40E45"/>
    <w:rsid w:val="00E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547B"/>
  <w15:chartTrackingRefBased/>
  <w15:docId w15:val="{463ABDD4-A9FE-4770-B792-668B2943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B3EEE-9510-40AA-8D80-7777D8EAA93E}"/>
</file>

<file path=customXml/itemProps2.xml><?xml version="1.0" encoding="utf-8"?>
<ds:datastoreItem xmlns:ds="http://schemas.openxmlformats.org/officeDocument/2006/customXml" ds:itemID="{3B3776B9-9075-4958-BD2C-632AAA787F77}"/>
</file>

<file path=customXml/itemProps3.xml><?xml version="1.0" encoding="utf-8"?>
<ds:datastoreItem xmlns:ds="http://schemas.openxmlformats.org/officeDocument/2006/customXml" ds:itemID="{9CDB8B53-2013-42BC-ACA4-6C939DE9C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2018-01-18T10:43:00Z</dcterms:created>
  <dcterms:modified xsi:type="dcterms:W3CDTF">2018-01-18T11:20:00Z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