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C2584" w14:textId="77777777" w:rsidR="004F2723" w:rsidRPr="004F2723" w:rsidRDefault="004F2723" w:rsidP="004F27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2723">
        <w:rPr>
          <w:rFonts w:ascii="Times New Roman" w:eastAsia="Times New Roman" w:hAnsi="Times New Roman"/>
          <w:sz w:val="28"/>
          <w:szCs w:val="28"/>
        </w:rPr>
        <w:t>Юридический факультет</w:t>
      </w:r>
    </w:p>
    <w:p w14:paraId="5B3828AB" w14:textId="77777777" w:rsidR="004F2723" w:rsidRPr="004F2723" w:rsidRDefault="004F2723" w:rsidP="004F27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47D21A8" w14:textId="77777777" w:rsidR="004F2723" w:rsidRPr="004F2723" w:rsidRDefault="004F2723" w:rsidP="004F27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2723">
        <w:rPr>
          <w:rFonts w:ascii="Times New Roman" w:eastAsia="Times New Roman" w:hAnsi="Times New Roman"/>
          <w:sz w:val="28"/>
          <w:szCs w:val="28"/>
        </w:rPr>
        <w:t>Тематика выпускных квалификационных работ</w:t>
      </w:r>
    </w:p>
    <w:p w14:paraId="1F80F556" w14:textId="77777777" w:rsidR="004F2723" w:rsidRPr="004F2723" w:rsidRDefault="004F2723" w:rsidP="004F27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F2723">
        <w:rPr>
          <w:rFonts w:ascii="Times New Roman" w:eastAsia="Times New Roman" w:hAnsi="Times New Roman"/>
          <w:sz w:val="28"/>
          <w:szCs w:val="28"/>
        </w:rPr>
        <w:t xml:space="preserve">для студентов, обучающихся по направлению </w:t>
      </w:r>
      <w:r w:rsidRPr="004F2723">
        <w:rPr>
          <w:rFonts w:ascii="Times New Roman" w:eastAsia="Times New Roman" w:hAnsi="Times New Roman"/>
          <w:bCs/>
          <w:sz w:val="28"/>
          <w:szCs w:val="28"/>
        </w:rPr>
        <w:t xml:space="preserve">подготовки </w:t>
      </w:r>
    </w:p>
    <w:p w14:paraId="3150ACC6" w14:textId="484AF6AE" w:rsidR="004F2723" w:rsidRPr="004F2723" w:rsidRDefault="004F2723" w:rsidP="004F2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723">
        <w:rPr>
          <w:rFonts w:ascii="Times New Roman" w:eastAsia="Times New Roman" w:hAnsi="Times New Roman"/>
          <w:bCs/>
          <w:sz w:val="28"/>
          <w:szCs w:val="28"/>
        </w:rPr>
        <w:t>40.03.01 «Юриспруденция»</w:t>
      </w:r>
      <w:r w:rsidR="001B56F7">
        <w:rPr>
          <w:rFonts w:ascii="Times New Roman" w:eastAsia="Times New Roman" w:hAnsi="Times New Roman"/>
          <w:bCs/>
          <w:sz w:val="28"/>
          <w:szCs w:val="28"/>
        </w:rPr>
        <w:t>, очно-заочная форма обучения</w:t>
      </w:r>
      <w:r w:rsidRPr="004F2723">
        <w:rPr>
          <w:rFonts w:ascii="Times New Roman" w:eastAsia="Times New Roman" w:hAnsi="Times New Roman"/>
          <w:bCs/>
          <w:sz w:val="28"/>
          <w:szCs w:val="28"/>
        </w:rPr>
        <w:t>,</w:t>
      </w:r>
      <w:r w:rsidRPr="004F2723">
        <w:rPr>
          <w:rFonts w:ascii="Times New Roman" w:hAnsi="Times New Roman"/>
          <w:sz w:val="28"/>
          <w:szCs w:val="28"/>
        </w:rPr>
        <w:t xml:space="preserve"> 202</w:t>
      </w:r>
      <w:r w:rsidR="00FE488A">
        <w:rPr>
          <w:rFonts w:ascii="Times New Roman" w:hAnsi="Times New Roman"/>
          <w:sz w:val="28"/>
          <w:szCs w:val="28"/>
        </w:rPr>
        <w:t>4</w:t>
      </w:r>
      <w:r w:rsidRPr="004F2723">
        <w:rPr>
          <w:rFonts w:ascii="Times New Roman" w:hAnsi="Times New Roman"/>
          <w:sz w:val="28"/>
          <w:szCs w:val="28"/>
        </w:rPr>
        <w:t>-202</w:t>
      </w:r>
      <w:r w:rsidR="00FE488A">
        <w:rPr>
          <w:rFonts w:ascii="Times New Roman" w:hAnsi="Times New Roman"/>
          <w:sz w:val="28"/>
          <w:szCs w:val="28"/>
        </w:rPr>
        <w:t>5</w:t>
      </w:r>
      <w:r w:rsidRPr="004F2723">
        <w:rPr>
          <w:rFonts w:ascii="Times New Roman" w:hAnsi="Times New Roman"/>
          <w:sz w:val="28"/>
          <w:szCs w:val="28"/>
        </w:rPr>
        <w:t xml:space="preserve"> учебный год</w:t>
      </w:r>
    </w:p>
    <w:p w14:paraId="7F00FB2C" w14:textId="77777777" w:rsidR="004F2723" w:rsidRPr="004F2723" w:rsidRDefault="004F2723" w:rsidP="004F272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3B0BF9E" w14:textId="457BC085" w:rsidR="004F2723" w:rsidRPr="004F2723" w:rsidRDefault="001B56F7" w:rsidP="004F2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Кафедра</w:t>
      </w:r>
      <w:r w:rsidR="004F2723" w:rsidRPr="004F2723">
        <w:rPr>
          <w:rFonts w:ascii="Times New Roman" w:eastAsia="Times New Roman" w:hAnsi="Times New Roman"/>
          <w:b/>
          <w:bCs/>
          <w:sz w:val="28"/>
          <w:szCs w:val="28"/>
        </w:rPr>
        <w:t xml:space="preserve"> правового регулирования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F2723" w:rsidRPr="004F2723">
        <w:rPr>
          <w:rFonts w:ascii="Times New Roman" w:eastAsia="Times New Roman" w:hAnsi="Times New Roman"/>
          <w:b/>
          <w:bCs/>
          <w:sz w:val="28"/>
          <w:szCs w:val="28"/>
        </w:rPr>
        <w:t>экономической деятельности</w:t>
      </w:r>
    </w:p>
    <w:p w14:paraId="0EB3FB53" w14:textId="77777777" w:rsidR="004F2723" w:rsidRPr="004F2723" w:rsidRDefault="004F2723" w:rsidP="004F2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29BD5A59" w14:textId="77777777" w:rsidR="004F2723" w:rsidRDefault="004F2723" w:rsidP="004F272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Профиль «Гражданское и предпринимательское право»</w:t>
      </w:r>
    </w:p>
    <w:p w14:paraId="6E91DAA4" w14:textId="2BEC18E9" w:rsidR="00C23333" w:rsidRDefault="004F2723" w:rsidP="00A56CC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245224">
        <w:rPr>
          <w:color w:val="2C2D2E"/>
          <w:sz w:val="28"/>
          <w:szCs w:val="28"/>
        </w:rPr>
        <w:t xml:space="preserve"> </w:t>
      </w:r>
    </w:p>
    <w:p w14:paraId="09D4E5A2" w14:textId="43B6FD95" w:rsidR="004F2723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2C2D2E"/>
          <w:sz w:val="28"/>
          <w:szCs w:val="28"/>
        </w:rPr>
      </w:pPr>
      <w:r w:rsidRPr="005269AC">
        <w:rPr>
          <w:sz w:val="28"/>
          <w:szCs w:val="28"/>
        </w:rPr>
        <w:t>Обязательное страхование гражданско-правовой ответственности владельцев транспортных средств в России</w:t>
      </w:r>
    </w:p>
    <w:p w14:paraId="35E29B6B" w14:textId="57204AD7" w:rsidR="004F2723" w:rsidRPr="00C23333" w:rsidRDefault="004F2723" w:rsidP="009255C6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269AC">
        <w:rPr>
          <w:sz w:val="28"/>
          <w:szCs w:val="28"/>
        </w:rPr>
        <w:t>Правовое регулирование нотариальной деятельности в условиях ограничени</w:t>
      </w:r>
      <w:r w:rsidR="00812C02">
        <w:rPr>
          <w:sz w:val="28"/>
          <w:szCs w:val="28"/>
        </w:rPr>
        <w:t>й,</w:t>
      </w:r>
      <w:r w:rsidRPr="005269AC">
        <w:rPr>
          <w:sz w:val="28"/>
          <w:szCs w:val="28"/>
        </w:rPr>
        <w:t xml:space="preserve"> вое</w:t>
      </w:r>
      <w:r>
        <w:rPr>
          <w:sz w:val="28"/>
          <w:szCs w:val="28"/>
        </w:rPr>
        <w:t>нного и чрезвычайного положения (на примере Донецкой Народной Республики)</w:t>
      </w:r>
      <w:r>
        <w:rPr>
          <w:rStyle w:val="a7"/>
          <w:sz w:val="28"/>
          <w:szCs w:val="28"/>
        </w:rPr>
        <w:footnoteReference w:id="1"/>
      </w:r>
    </w:p>
    <w:p w14:paraId="517139E0" w14:textId="217FAC27" w:rsidR="004F2723" w:rsidRPr="00A56CC4" w:rsidRDefault="00A56CC4" w:rsidP="009255C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0161C">
        <w:rPr>
          <w:sz w:val="28"/>
          <w:szCs w:val="28"/>
        </w:rPr>
        <w:t xml:space="preserve">Правовое обеспечение государственно-частного партнерства в оборонно-промышленном комплексе на примере </w:t>
      </w:r>
      <w:r w:rsidRPr="005742F3">
        <w:rPr>
          <w:sz w:val="28"/>
          <w:szCs w:val="28"/>
        </w:rPr>
        <w:t>Госкорпораци</w:t>
      </w:r>
      <w:r>
        <w:rPr>
          <w:sz w:val="28"/>
          <w:szCs w:val="28"/>
        </w:rPr>
        <w:t>и</w:t>
      </w:r>
      <w:r w:rsidRPr="005742F3">
        <w:rPr>
          <w:sz w:val="28"/>
          <w:szCs w:val="28"/>
        </w:rPr>
        <w:t xml:space="preserve"> «Росатом»</w:t>
      </w:r>
      <w:r w:rsidRPr="00B0161C">
        <w:rPr>
          <w:sz w:val="28"/>
          <w:szCs w:val="28"/>
        </w:rPr>
        <w:t xml:space="preserve"> (иной корпорации</w:t>
      </w:r>
      <w:r>
        <w:rPr>
          <w:sz w:val="28"/>
          <w:szCs w:val="28"/>
        </w:rPr>
        <w:t xml:space="preserve"> по выбору студента</w:t>
      </w:r>
      <w:r w:rsidRPr="00B0161C">
        <w:rPr>
          <w:sz w:val="28"/>
          <w:szCs w:val="28"/>
        </w:rPr>
        <w:t>)</w:t>
      </w:r>
      <w:r w:rsidRPr="00A56CC4">
        <w:rPr>
          <w:rStyle w:val="a7"/>
        </w:rPr>
        <w:t xml:space="preserve"> </w:t>
      </w:r>
      <w:r>
        <w:rPr>
          <w:rStyle w:val="a7"/>
        </w:rPr>
        <w:footnoteReference w:id="2"/>
      </w:r>
    </w:p>
    <w:p w14:paraId="7FC636B0" w14:textId="77777777" w:rsidR="004F2723" w:rsidRPr="005269AC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269AC">
        <w:rPr>
          <w:sz w:val="28"/>
          <w:szCs w:val="28"/>
        </w:rPr>
        <w:t>Нас</w:t>
      </w:r>
      <w:r>
        <w:rPr>
          <w:sz w:val="28"/>
          <w:szCs w:val="28"/>
        </w:rPr>
        <w:t xml:space="preserve">ледование </w:t>
      </w:r>
      <w:r w:rsidR="00643A24">
        <w:rPr>
          <w:sz w:val="28"/>
          <w:szCs w:val="28"/>
        </w:rPr>
        <w:t>исключительных</w:t>
      </w:r>
      <w:r>
        <w:rPr>
          <w:sz w:val="28"/>
          <w:szCs w:val="28"/>
        </w:rPr>
        <w:t xml:space="preserve"> прав</w:t>
      </w:r>
      <w:r w:rsidRPr="005269AC">
        <w:rPr>
          <w:sz w:val="28"/>
          <w:szCs w:val="28"/>
        </w:rPr>
        <w:tab/>
      </w:r>
    </w:p>
    <w:p w14:paraId="722D08DA" w14:textId="77777777" w:rsidR="004F2723" w:rsidRPr="00A3619A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269AC">
        <w:rPr>
          <w:sz w:val="28"/>
          <w:szCs w:val="28"/>
        </w:rPr>
        <w:t>Законодательное обеспечение и защита патентных прав в Российской Федерации</w:t>
      </w:r>
    </w:p>
    <w:p w14:paraId="7DCB0AE4" w14:textId="77777777" w:rsidR="004F2723" w:rsidRPr="00A36F9C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36F9C">
        <w:rPr>
          <w:sz w:val="28"/>
          <w:szCs w:val="28"/>
        </w:rPr>
        <w:t xml:space="preserve">Правовое регулирование оборота цифровой валюты на территории </w:t>
      </w:r>
      <w:r w:rsidRPr="00693D36">
        <w:rPr>
          <w:sz w:val="28"/>
          <w:szCs w:val="28"/>
        </w:rPr>
        <w:t>Российской Федерации</w:t>
      </w:r>
    </w:p>
    <w:p w14:paraId="716DCD07" w14:textId="406584EE" w:rsidR="004F2723" w:rsidRPr="00A955BD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955BD">
        <w:rPr>
          <w:sz w:val="28"/>
          <w:szCs w:val="28"/>
        </w:rPr>
        <w:t>Договор участия в долевом строительстве</w:t>
      </w:r>
    </w:p>
    <w:p w14:paraId="1C5F7DA8" w14:textId="2BCCA6EA" w:rsidR="004F2723" w:rsidRPr="00AF43D2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269AC">
        <w:rPr>
          <w:sz w:val="28"/>
          <w:szCs w:val="28"/>
        </w:rPr>
        <w:t>Злоупотребление правом в российском и зарубежном</w:t>
      </w:r>
      <w:r w:rsidR="00AA4C18">
        <w:rPr>
          <w:sz w:val="28"/>
          <w:szCs w:val="28"/>
        </w:rPr>
        <w:t xml:space="preserve"> законодательстве</w:t>
      </w:r>
    </w:p>
    <w:p w14:paraId="2161C685" w14:textId="0E9FEEC2" w:rsidR="004F2723" w:rsidRPr="00B0161C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0161C">
        <w:rPr>
          <w:sz w:val="28"/>
          <w:szCs w:val="28"/>
        </w:rPr>
        <w:t>Правовой режим</w:t>
      </w:r>
      <w:r w:rsidR="00AA4C18">
        <w:rPr>
          <w:sz w:val="28"/>
          <w:szCs w:val="28"/>
        </w:rPr>
        <w:t xml:space="preserve"> оборота</w:t>
      </w:r>
      <w:r w:rsidRPr="00B0161C">
        <w:rPr>
          <w:sz w:val="28"/>
          <w:szCs w:val="28"/>
        </w:rPr>
        <w:t xml:space="preserve"> безналичных денежных средств, электронных денежных средств и цифрового рубля </w:t>
      </w:r>
    </w:p>
    <w:p w14:paraId="3F09A453" w14:textId="40E3FCF6" w:rsidR="004F2723" w:rsidRPr="00B0161C" w:rsidRDefault="00AA4C18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с</w:t>
      </w:r>
      <w:r w:rsidR="004F2723" w:rsidRPr="00B0161C">
        <w:rPr>
          <w:sz w:val="28"/>
          <w:szCs w:val="28"/>
        </w:rPr>
        <w:t>вобод</w:t>
      </w:r>
      <w:r w:rsidR="00A56CC4">
        <w:rPr>
          <w:sz w:val="28"/>
          <w:szCs w:val="28"/>
        </w:rPr>
        <w:t>ы</w:t>
      </w:r>
      <w:r w:rsidR="004F2723" w:rsidRPr="00B0161C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 xml:space="preserve">при </w:t>
      </w:r>
      <w:r w:rsidR="004F2723" w:rsidRPr="00B0161C">
        <w:rPr>
          <w:sz w:val="28"/>
          <w:szCs w:val="28"/>
        </w:rPr>
        <w:t>государственн</w:t>
      </w:r>
      <w:r>
        <w:rPr>
          <w:sz w:val="28"/>
          <w:szCs w:val="28"/>
        </w:rPr>
        <w:t>ом</w:t>
      </w:r>
      <w:r w:rsidR="004F2723" w:rsidRPr="00B0161C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 xml:space="preserve">и </w:t>
      </w:r>
      <w:r w:rsidR="004F2723" w:rsidRPr="00B0161C">
        <w:rPr>
          <w:sz w:val="28"/>
          <w:szCs w:val="28"/>
        </w:rPr>
        <w:t>цен</w:t>
      </w:r>
    </w:p>
    <w:p w14:paraId="6FF1CCFB" w14:textId="30F87151" w:rsidR="004F2723" w:rsidRPr="003C253B" w:rsidRDefault="003C253B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Применения с</w:t>
      </w:r>
      <w:r w:rsidR="004F2723" w:rsidRPr="003C253B">
        <w:rPr>
          <w:sz w:val="28"/>
          <w:szCs w:val="28"/>
        </w:rPr>
        <w:t>март-контракт</w:t>
      </w:r>
      <w:r w:rsidRPr="009255C6">
        <w:rPr>
          <w:sz w:val="28"/>
          <w:szCs w:val="28"/>
        </w:rPr>
        <w:t>ов</w:t>
      </w:r>
      <w:r w:rsidR="004F2723" w:rsidRPr="003C253B">
        <w:rPr>
          <w:sz w:val="28"/>
          <w:szCs w:val="28"/>
        </w:rPr>
        <w:t xml:space="preserve"> в гражданск</w:t>
      </w:r>
      <w:r w:rsidRPr="009255C6">
        <w:rPr>
          <w:sz w:val="28"/>
          <w:szCs w:val="28"/>
        </w:rPr>
        <w:t>их правоотношениях: перспективы развития</w:t>
      </w:r>
      <w:r w:rsidR="00B941DF" w:rsidRPr="009255C6">
        <w:rPr>
          <w:sz w:val="28"/>
          <w:szCs w:val="28"/>
        </w:rPr>
        <w:t xml:space="preserve"> </w:t>
      </w:r>
    </w:p>
    <w:p w14:paraId="2A51A84E" w14:textId="151F3FC2" w:rsidR="004F2723" w:rsidRPr="00B0161C" w:rsidRDefault="00A56CC4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050A3">
        <w:rPr>
          <w:sz w:val="28"/>
          <w:szCs w:val="28"/>
        </w:rPr>
        <w:t>Компенсация как способ защиты исключительных прав</w:t>
      </w:r>
      <w:r>
        <w:rPr>
          <w:sz w:val="28"/>
          <w:szCs w:val="28"/>
        </w:rPr>
        <w:t xml:space="preserve"> </w:t>
      </w:r>
    </w:p>
    <w:p w14:paraId="63BB34AC" w14:textId="13A73450" w:rsidR="00846B15" w:rsidRDefault="004F2723" w:rsidP="009255C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941DF">
        <w:rPr>
          <w:sz w:val="28"/>
          <w:szCs w:val="28"/>
        </w:rPr>
        <w:t>Наследственный договор</w:t>
      </w:r>
      <w:r w:rsidR="00B941DF" w:rsidRPr="009255C6">
        <w:rPr>
          <w:sz w:val="28"/>
          <w:szCs w:val="28"/>
        </w:rPr>
        <w:t xml:space="preserve"> как осн</w:t>
      </w:r>
      <w:r w:rsidR="001B56F7">
        <w:rPr>
          <w:sz w:val="28"/>
          <w:szCs w:val="28"/>
        </w:rPr>
        <w:t>ование наследования по законодательству Российской Федерации</w:t>
      </w:r>
    </w:p>
    <w:p w14:paraId="3F036A4E" w14:textId="088259AC" w:rsidR="004F2723" w:rsidRPr="00846B15" w:rsidRDefault="00846B15" w:rsidP="009255C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46B15">
        <w:rPr>
          <w:sz w:val="28"/>
          <w:szCs w:val="28"/>
        </w:rPr>
        <w:t>Интеллектуальные права на объекты, созданные искусственным интеллектом</w:t>
      </w:r>
    </w:p>
    <w:p w14:paraId="0111FC5F" w14:textId="77777777" w:rsidR="004F2723" w:rsidRPr="00CC4EF2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C4EF2">
        <w:rPr>
          <w:sz w:val="28"/>
          <w:szCs w:val="28"/>
        </w:rPr>
        <w:t>Компьютерная игра как объект</w:t>
      </w:r>
      <w:r>
        <w:rPr>
          <w:sz w:val="28"/>
          <w:szCs w:val="28"/>
        </w:rPr>
        <w:t xml:space="preserve"> интеллектуальной собственности</w:t>
      </w:r>
    </w:p>
    <w:p w14:paraId="2A0B674F" w14:textId="77777777" w:rsidR="004F2723" w:rsidRPr="00CC4EF2" w:rsidRDefault="004F2723" w:rsidP="004F2723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F2">
        <w:rPr>
          <w:rFonts w:ascii="Times New Roman" w:hAnsi="Times New Roman" w:cs="Times New Roman"/>
          <w:sz w:val="28"/>
          <w:szCs w:val="28"/>
        </w:rPr>
        <w:t xml:space="preserve">Государственная корпорация как субъект гражданских правоотношений </w:t>
      </w:r>
      <w:r w:rsidRPr="00CC4EF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конкретного хозяйствующего субъекта)</w:t>
      </w:r>
    </w:p>
    <w:p w14:paraId="623B9132" w14:textId="42B2E175" w:rsidR="004F2723" w:rsidRPr="005269AC" w:rsidRDefault="00812C02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Наследственный фонд: порядок создания и </w:t>
      </w:r>
      <w:r w:rsidR="00AA4C18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правового регулирования</w:t>
      </w:r>
    </w:p>
    <w:p w14:paraId="3B6736B7" w14:textId="77777777" w:rsidR="004F2723" w:rsidRPr="00A06420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06420">
        <w:rPr>
          <w:sz w:val="28"/>
          <w:szCs w:val="28"/>
        </w:rPr>
        <w:t>Коммерческое представительство в гражданском обороте</w:t>
      </w:r>
    </w:p>
    <w:p w14:paraId="0B55A1F6" w14:textId="64A411D6" w:rsidR="004F2723" w:rsidRPr="00A06420" w:rsidRDefault="00300D4C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Сравнительно-правовой анализ уступки требования (цессии) и перевода долга</w:t>
      </w:r>
    </w:p>
    <w:p w14:paraId="05FC4A0E" w14:textId="77777777" w:rsidR="004F2723" w:rsidRPr="00A06420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06420">
        <w:rPr>
          <w:sz w:val="28"/>
          <w:szCs w:val="28"/>
        </w:rPr>
        <w:t>Защита прав участников договора строительного подряда (на примере правоприменительной практики конкретного субъекта Р</w:t>
      </w:r>
      <w:r>
        <w:rPr>
          <w:sz w:val="28"/>
          <w:szCs w:val="28"/>
        </w:rPr>
        <w:t xml:space="preserve">оссийской </w:t>
      </w:r>
      <w:r w:rsidRPr="00A0642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06420">
        <w:rPr>
          <w:sz w:val="28"/>
          <w:szCs w:val="28"/>
        </w:rPr>
        <w:t>)</w:t>
      </w:r>
    </w:p>
    <w:p w14:paraId="3AB1A5CC" w14:textId="77777777" w:rsidR="004F2723" w:rsidRPr="00A06420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06420">
        <w:rPr>
          <w:sz w:val="28"/>
          <w:szCs w:val="28"/>
        </w:rPr>
        <w:t>Защита прав потребителей при выполнении работ и оказании услуг</w:t>
      </w:r>
    </w:p>
    <w:p w14:paraId="4C324B1D" w14:textId="77777777" w:rsidR="004F2723" w:rsidRPr="00A06420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06420">
        <w:rPr>
          <w:sz w:val="28"/>
          <w:szCs w:val="28"/>
        </w:rPr>
        <w:t>Договор оказания спортивно-зрелищных услуг в гражданском праве Российской Федерации</w:t>
      </w:r>
    </w:p>
    <w:p w14:paraId="407886BB" w14:textId="3DB2C380" w:rsidR="004F2723" w:rsidRPr="00A06420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06420">
        <w:rPr>
          <w:sz w:val="28"/>
          <w:szCs w:val="28"/>
        </w:rPr>
        <w:t>Ответственность перевозчика по договору перевозки груз</w:t>
      </w:r>
      <w:r>
        <w:rPr>
          <w:sz w:val="28"/>
          <w:szCs w:val="28"/>
        </w:rPr>
        <w:t xml:space="preserve">а </w:t>
      </w:r>
      <w:r w:rsidR="008302BB">
        <w:rPr>
          <w:sz w:val="28"/>
          <w:szCs w:val="28"/>
        </w:rPr>
        <w:t>в прямом</w:t>
      </w:r>
      <w:r w:rsidR="008302BB" w:rsidRPr="009255C6">
        <w:rPr>
          <w:sz w:val="28"/>
          <w:szCs w:val="28"/>
        </w:rPr>
        <w:t xml:space="preserve">, </w:t>
      </w:r>
      <w:r w:rsidR="008302BB">
        <w:rPr>
          <w:sz w:val="28"/>
          <w:szCs w:val="28"/>
        </w:rPr>
        <w:t>смешанном (комбинированном) сообщении</w:t>
      </w:r>
    </w:p>
    <w:p w14:paraId="1B1D5417" w14:textId="77777777" w:rsidR="004F2723" w:rsidRPr="0095030E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95030E">
        <w:rPr>
          <w:sz w:val="28"/>
          <w:szCs w:val="28"/>
        </w:rPr>
        <w:t>Правовое регулирование игорной деятельности в Российской Федерации</w:t>
      </w:r>
    </w:p>
    <w:p w14:paraId="4F2FBC6A" w14:textId="77777777" w:rsidR="004F2723" w:rsidRPr="00A06420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A06420">
        <w:rPr>
          <w:sz w:val="28"/>
          <w:szCs w:val="28"/>
        </w:rPr>
        <w:t>Вещные и интеллектуальные права на художественные произведения</w:t>
      </w:r>
    </w:p>
    <w:p w14:paraId="65022E45" w14:textId="42EEFC1A" w:rsidR="00233E7E" w:rsidRPr="00927BCB" w:rsidRDefault="004F2723" w:rsidP="004F272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269AC">
        <w:rPr>
          <w:sz w:val="28"/>
          <w:szCs w:val="28"/>
        </w:rPr>
        <w:t>Правовое регулирование деятельности кредитных организаций в сфере противодействия легализации доход</w:t>
      </w:r>
      <w:r>
        <w:rPr>
          <w:sz w:val="28"/>
          <w:szCs w:val="28"/>
        </w:rPr>
        <w:t>ов, полученных преступным путем</w:t>
      </w:r>
      <w:r w:rsidR="001B56F7">
        <w:rPr>
          <w:sz w:val="28"/>
          <w:szCs w:val="28"/>
        </w:rPr>
        <w:t>, и финансированию терроризма</w:t>
      </w:r>
    </w:p>
    <w:p w14:paraId="3F386B75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Суррогатное материнство по законодательству Российской Федерации и зарубежных стра</w:t>
      </w:r>
      <w:r>
        <w:rPr>
          <w:sz w:val="28"/>
          <w:szCs w:val="28"/>
        </w:rPr>
        <w:t>н</w:t>
      </w:r>
    </w:p>
    <w:p w14:paraId="625D21E5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Ответственность супругов по обязательствам при законном и договорном режимах имущества</w:t>
      </w:r>
    </w:p>
    <w:p w14:paraId="6A59225B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Недействительность сделок, совершенных с общим имуществом супругов</w:t>
      </w:r>
    </w:p>
    <w:p w14:paraId="07AFD453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Общая и раздельная собственность супругов: сравнительно-правовой анализ</w:t>
      </w:r>
    </w:p>
    <w:p w14:paraId="1098F5B7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Опека и попечительство в гражданском и семейном праве Российской Федерации</w:t>
      </w:r>
    </w:p>
    <w:p w14:paraId="3CC70CF7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 xml:space="preserve">Совместное завещание супругов как основание наследования </w:t>
      </w:r>
    </w:p>
    <w:p w14:paraId="77651F08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Защита деловой репутации субъекта предпринимательской деятельности</w:t>
      </w:r>
    </w:p>
    <w:p w14:paraId="62F1ABF9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Особенности заключения и исполнения договоров в электронной форме (на примере правоприменительной практики конкретного субъекта Российской Федерации)</w:t>
      </w:r>
    </w:p>
    <w:p w14:paraId="78705729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Индивидуальные предприниматели и самозанятые: сравнительно-правовая характеристика</w:t>
      </w:r>
    </w:p>
    <w:p w14:paraId="55CA172C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 xml:space="preserve">Реклама в сети Интернет: вопросы правовой регламентации </w:t>
      </w:r>
    </w:p>
    <w:p w14:paraId="59969665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обеспечение деятельности субъектов малого и среднего предпринимательства в Российской Федерации</w:t>
      </w:r>
    </w:p>
    <w:p w14:paraId="55D742D0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положение владельцев агрегаторов по законодательству Российской Федерации (на примере конкретного агрегатора)</w:t>
      </w:r>
    </w:p>
    <w:p w14:paraId="6E40B09C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PR-деятельность в России: правовое регулирование и судебная практика</w:t>
      </w:r>
    </w:p>
    <w:p w14:paraId="6BA5962E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регулирование брокерской деятельности в Российской Федерации</w:t>
      </w:r>
      <w:r w:rsidRPr="00233E7E" w:rsidDel="00C9327F">
        <w:rPr>
          <w:sz w:val="28"/>
          <w:szCs w:val="28"/>
        </w:rPr>
        <w:t xml:space="preserve"> </w:t>
      </w:r>
      <w:r w:rsidRPr="00233E7E">
        <w:rPr>
          <w:sz w:val="28"/>
          <w:szCs w:val="28"/>
        </w:rPr>
        <w:t>(на примере конкретного брокера)</w:t>
      </w:r>
    </w:p>
    <w:p w14:paraId="60F50518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регулирование социального предпринимательства в Российской Федерации</w:t>
      </w:r>
    </w:p>
    <w:p w14:paraId="243ED58B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 xml:space="preserve">Правовое регулирование коммерческой деятельности на электронных площадках </w:t>
      </w:r>
    </w:p>
    <w:p w14:paraId="3CB078A8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положение участника корпорации (на примере конкретной корпорации)</w:t>
      </w:r>
    </w:p>
    <w:p w14:paraId="620D432A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Ответственность лиц, контролирующих корпорацию (на примере конкретной корпорации</w:t>
      </w:r>
      <w:r>
        <w:rPr>
          <w:sz w:val="28"/>
          <w:szCs w:val="28"/>
        </w:rPr>
        <w:t>)</w:t>
      </w:r>
    </w:p>
    <w:p w14:paraId="18289DFF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обеспечение объединения корпораций (на примере слияния двух и более конкретных хозяйствующих субъектов)</w:t>
      </w:r>
      <w:r w:rsidRPr="00233E7E">
        <w:rPr>
          <w:sz w:val="28"/>
          <w:szCs w:val="28"/>
        </w:rPr>
        <w:tab/>
      </w:r>
    </w:p>
    <w:p w14:paraId="008F99F3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lastRenderedPageBreak/>
        <w:t>Сделки с долями корпорации: опцион, предварительный договор, основной договор отчуждения</w:t>
      </w:r>
    </w:p>
    <w:p w14:paraId="677D0DAE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регулирование оспаривания решений собраний в хозяйственных обществах</w:t>
      </w:r>
      <w:r w:rsidRPr="00233E7E">
        <w:rPr>
          <w:sz w:val="28"/>
          <w:szCs w:val="28"/>
        </w:rPr>
        <w:tab/>
      </w:r>
    </w:p>
    <w:p w14:paraId="7B73C5A9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Способы разрешения корпоративных споров</w:t>
      </w:r>
    </w:p>
    <w:p w14:paraId="314DCC50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Гражданско-правовая ответственность участников корпоративных отношений</w:t>
      </w:r>
    </w:p>
    <w:p w14:paraId="1213FD0D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Защита прав кредиторов и участников юридического лица при ликвидации организации (на примере правоприменительной практики конкретного субъекта Российской Федерации)</w:t>
      </w:r>
    </w:p>
    <w:p w14:paraId="046C2D05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Осуществление и защита корпоративных прав с применением цифровых технологий</w:t>
      </w:r>
    </w:p>
    <w:p w14:paraId="1A2F41C1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Ответственность директора и участника перед корпорацией за причинённые ей убытки (на примере конкретного хозяйствующего субъекта)</w:t>
      </w:r>
    </w:p>
    <w:p w14:paraId="10EB8473" w14:textId="6F11775C" w:rsidR="00233E7E" w:rsidRDefault="008302BB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02BB">
        <w:rPr>
          <w:sz w:val="28"/>
          <w:szCs w:val="28"/>
        </w:rPr>
        <w:t>Коллизии правового регулирования сделок ВЭД, заключаемых с использованием сети Интернет</w:t>
      </w:r>
    </w:p>
    <w:p w14:paraId="20309FE4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Признание и исполнение иностранных судебных решений</w:t>
      </w:r>
      <w:r w:rsidRPr="00233E7E" w:rsidDel="00DA5D23">
        <w:rPr>
          <w:sz w:val="28"/>
          <w:szCs w:val="28"/>
        </w:rPr>
        <w:t xml:space="preserve"> </w:t>
      </w:r>
      <w:r w:rsidRPr="00233E7E">
        <w:rPr>
          <w:sz w:val="28"/>
          <w:szCs w:val="28"/>
        </w:rPr>
        <w:t>в Российской Федерации</w:t>
      </w:r>
    </w:p>
    <w:p w14:paraId="04C4B6E3" w14:textId="78F08300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регулирование международных</w:t>
      </w:r>
      <w:r w:rsidR="008302BB">
        <w:rPr>
          <w:sz w:val="28"/>
          <w:szCs w:val="28"/>
        </w:rPr>
        <w:t xml:space="preserve"> </w:t>
      </w:r>
      <w:r w:rsidRPr="00233E7E">
        <w:rPr>
          <w:sz w:val="28"/>
          <w:szCs w:val="28"/>
        </w:rPr>
        <w:t xml:space="preserve">перевозок </w:t>
      </w:r>
      <w:r w:rsidR="008302BB">
        <w:rPr>
          <w:sz w:val="28"/>
          <w:szCs w:val="28"/>
        </w:rPr>
        <w:t>грузов</w:t>
      </w:r>
      <w:r w:rsidR="008302BB" w:rsidRPr="009255C6">
        <w:rPr>
          <w:sz w:val="28"/>
          <w:szCs w:val="28"/>
        </w:rPr>
        <w:t xml:space="preserve">, </w:t>
      </w:r>
      <w:r w:rsidR="008302BB">
        <w:rPr>
          <w:sz w:val="28"/>
          <w:szCs w:val="28"/>
        </w:rPr>
        <w:t>пассажиров и багажа в международ</w:t>
      </w:r>
      <w:r w:rsidR="009255C6">
        <w:rPr>
          <w:sz w:val="28"/>
          <w:szCs w:val="28"/>
        </w:rPr>
        <w:t>ном</w:t>
      </w:r>
      <w:r w:rsidR="008302BB">
        <w:rPr>
          <w:sz w:val="28"/>
          <w:szCs w:val="28"/>
        </w:rPr>
        <w:t xml:space="preserve"> сообщени</w:t>
      </w:r>
      <w:r w:rsidR="009255C6">
        <w:rPr>
          <w:sz w:val="28"/>
          <w:szCs w:val="28"/>
        </w:rPr>
        <w:t>и</w:t>
      </w:r>
    </w:p>
    <w:p w14:paraId="33362144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Правовой статус Международного коммерческого арбитражного суда при Торгово-промышленной палате Российской Федерации</w:t>
      </w:r>
    </w:p>
    <w:p w14:paraId="124A1245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положение управляющей организации (на примере конкретной управляющей организации)</w:t>
      </w:r>
    </w:p>
    <w:p w14:paraId="68430A58" w14:textId="640BD736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33E7E">
        <w:rPr>
          <w:sz w:val="28"/>
          <w:szCs w:val="28"/>
        </w:rPr>
        <w:t>Правовое регулирование сопровождения сделок с недвижимостью на примере ПАО «ПИК» (иного хозяйствующего субъекта)</w:t>
      </w:r>
    </w:p>
    <w:p w14:paraId="713C69EB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Оспаривание сделок должника при проведении процедур, применяемых в деле о банкротстве</w:t>
      </w:r>
    </w:p>
    <w:p w14:paraId="5A305316" w14:textId="77777777" w:rsidR="00233E7E" w:rsidRDefault="00233E7E" w:rsidP="00233E7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Правовое регулирование внесудебного банкротства граждан (на примере правоприменительной практики конкретного субъекта Российской Федерации)</w:t>
      </w:r>
    </w:p>
    <w:p w14:paraId="23760852" w14:textId="77777777" w:rsidR="0032383E" w:rsidRDefault="00233E7E" w:rsidP="0032383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Недействительные сделки при несостоятельности (банкротстве) кредитных организаций</w:t>
      </w:r>
    </w:p>
    <w:p w14:paraId="0E8B5015" w14:textId="77777777" w:rsidR="0032383E" w:rsidRDefault="00233E7E" w:rsidP="0032383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Защита прав залоговых кредиторов при банкротстве юридических лиц и граждан (на примере правоприменительной практики конкретного субъекта Российской Федерации)</w:t>
      </w:r>
    </w:p>
    <w:p w14:paraId="55FBA1B9" w14:textId="77777777" w:rsidR="0032383E" w:rsidRDefault="00233E7E" w:rsidP="0032383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Субсидиарная ответственность контролирующих должника лиц при банкротстве организаций</w:t>
      </w:r>
      <w:r w:rsidRPr="009255C6" w:rsidDel="003C253B">
        <w:rPr>
          <w:sz w:val="28"/>
          <w:szCs w:val="28"/>
        </w:rPr>
        <w:t xml:space="preserve"> </w:t>
      </w:r>
    </w:p>
    <w:p w14:paraId="587F1BC9" w14:textId="77777777" w:rsidR="0032383E" w:rsidRDefault="00233E7E" w:rsidP="0032383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Правовое регулирование процедуры реализации недвижимого имущества в деле о банкротстве гражданина</w:t>
      </w:r>
    </w:p>
    <w:p w14:paraId="3AC2F7A8" w14:textId="3F23B90E" w:rsidR="00233E7E" w:rsidRPr="009255C6" w:rsidRDefault="00233E7E" w:rsidP="009255C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 xml:space="preserve">Правовое регулирование трансграничного банкротства </w:t>
      </w:r>
    </w:p>
    <w:p w14:paraId="386B68DA" w14:textId="77777777" w:rsidR="0032383E" w:rsidRDefault="0032383E" w:rsidP="0032383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Краундфандинговые онлайн-платформы для малого и среднего бизнеса в Российской Федерации</w:t>
      </w:r>
    </w:p>
    <w:p w14:paraId="23EBC2C1" w14:textId="77777777" w:rsidR="0032383E" w:rsidRDefault="0032383E" w:rsidP="0032383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Правовое регулирование сделок с использованием цифровых валют: российская и зарубежная практика</w:t>
      </w:r>
    </w:p>
    <w:p w14:paraId="73284659" w14:textId="77777777" w:rsidR="0032383E" w:rsidRDefault="0032383E" w:rsidP="0032383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Банковский счет: понятие, виды и правовые режим</w:t>
      </w:r>
    </w:p>
    <w:p w14:paraId="24E361F6" w14:textId="77777777" w:rsidR="0032383E" w:rsidRPr="009255C6" w:rsidRDefault="0032383E" w:rsidP="0032383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383E">
        <w:rPr>
          <w:sz w:val="28"/>
          <w:szCs w:val="28"/>
        </w:rPr>
        <w:t>Цифровой рубль и безналичные расчеты: сравнительно – правовая характеристика</w:t>
      </w:r>
    </w:p>
    <w:p w14:paraId="16058681" w14:textId="77777777" w:rsidR="0032383E" w:rsidRDefault="0032383E" w:rsidP="0032383E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383E">
        <w:rPr>
          <w:sz w:val="28"/>
          <w:szCs w:val="28"/>
        </w:rPr>
        <w:lastRenderedPageBreak/>
        <w:t>Правовое регулирование трудовой миграции</w:t>
      </w:r>
    </w:p>
    <w:p w14:paraId="64F2B22E" w14:textId="16DC21B3" w:rsidR="0032383E" w:rsidRPr="009255C6" w:rsidRDefault="0032383E" w:rsidP="009255C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255C6">
        <w:rPr>
          <w:sz w:val="28"/>
          <w:szCs w:val="28"/>
        </w:rPr>
        <w:t>Самозащита работником трудовых прав и свобод</w:t>
      </w:r>
    </w:p>
    <w:p w14:paraId="658E934A" w14:textId="13F0D893" w:rsidR="004F2723" w:rsidRPr="00E01D3D" w:rsidRDefault="004F2723" w:rsidP="009255C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14:paraId="21A17B06" w14:textId="77777777" w:rsidR="00C067E4" w:rsidRPr="00C067E4" w:rsidRDefault="00C067E4" w:rsidP="00C0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7E4">
        <w:rPr>
          <w:rFonts w:ascii="Times New Roman" w:hAnsi="Times New Roman" w:cs="Times New Roman"/>
          <w:b/>
          <w:sz w:val="28"/>
          <w:szCs w:val="28"/>
        </w:rPr>
        <w:t>Темы ВКР-стартапа</w:t>
      </w:r>
    </w:p>
    <w:p w14:paraId="4AF96068" w14:textId="77777777" w:rsidR="00C067E4" w:rsidRPr="00C067E4" w:rsidRDefault="00C067E4" w:rsidP="00C067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BBC01F" w14:textId="106A9660" w:rsidR="00C067E4" w:rsidRPr="00C067E4" w:rsidRDefault="003E0345" w:rsidP="00C067E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7E4" w:rsidRPr="00C067E4">
        <w:rPr>
          <w:rFonts w:ascii="Times New Roman" w:hAnsi="Times New Roman" w:cs="Times New Roman"/>
          <w:sz w:val="28"/>
          <w:szCs w:val="28"/>
        </w:rPr>
        <w:t>.</w:t>
      </w:r>
      <w:r w:rsidR="004639EE" w:rsidRPr="004639EE">
        <w:t xml:space="preserve"> </w:t>
      </w:r>
      <w:r w:rsidR="004639EE">
        <w:rPr>
          <w:rFonts w:ascii="Times New Roman" w:hAnsi="Times New Roman" w:cs="Times New Roman"/>
          <w:sz w:val="28"/>
          <w:szCs w:val="28"/>
        </w:rPr>
        <w:t>Разработка и сопровождение цифровой платформы для оказания правовой поддержки</w:t>
      </w:r>
      <w:r w:rsidR="004639EE" w:rsidRPr="004639EE">
        <w:rPr>
          <w:rFonts w:ascii="Times New Roman" w:hAnsi="Times New Roman" w:cs="Times New Roman"/>
          <w:sz w:val="28"/>
          <w:szCs w:val="28"/>
        </w:rPr>
        <w:t xml:space="preserve"> НКО и самозанятых</w:t>
      </w:r>
      <w:r w:rsidR="004639EE">
        <w:rPr>
          <w:rFonts w:ascii="Times New Roman" w:hAnsi="Times New Roman" w:cs="Times New Roman"/>
          <w:sz w:val="28"/>
          <w:szCs w:val="28"/>
        </w:rPr>
        <w:t xml:space="preserve"> (проект Иванова Е</w:t>
      </w:r>
      <w:r w:rsidR="004639EE" w:rsidRPr="009255C6">
        <w:rPr>
          <w:rFonts w:ascii="Times New Roman" w:hAnsi="Times New Roman" w:cs="Times New Roman"/>
          <w:sz w:val="28"/>
          <w:szCs w:val="28"/>
        </w:rPr>
        <w:t>.</w:t>
      </w:r>
      <w:r w:rsidR="004639EE">
        <w:rPr>
          <w:rFonts w:ascii="Times New Roman" w:hAnsi="Times New Roman" w:cs="Times New Roman"/>
          <w:sz w:val="28"/>
          <w:szCs w:val="28"/>
        </w:rPr>
        <w:t>С</w:t>
      </w:r>
      <w:r w:rsidR="004639EE" w:rsidRPr="009255C6">
        <w:rPr>
          <w:rFonts w:ascii="Times New Roman" w:hAnsi="Times New Roman" w:cs="Times New Roman"/>
          <w:sz w:val="28"/>
          <w:szCs w:val="28"/>
        </w:rPr>
        <w:t>.</w:t>
      </w:r>
      <w:r w:rsidR="004639EE">
        <w:rPr>
          <w:rFonts w:ascii="Times New Roman" w:hAnsi="Times New Roman" w:cs="Times New Roman"/>
          <w:sz w:val="28"/>
          <w:szCs w:val="28"/>
        </w:rPr>
        <w:t>)</w:t>
      </w:r>
    </w:p>
    <w:p w14:paraId="003EE7D4" w14:textId="791301CF" w:rsidR="00C067E4" w:rsidRPr="00C067E4" w:rsidRDefault="003E0345" w:rsidP="00C067E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7E4" w:rsidRPr="00C067E4">
        <w:rPr>
          <w:rFonts w:ascii="Times New Roman" w:hAnsi="Times New Roman" w:cs="Times New Roman"/>
          <w:sz w:val="28"/>
          <w:szCs w:val="28"/>
        </w:rPr>
        <w:t>.</w:t>
      </w:r>
      <w:r w:rsidR="00C067E4" w:rsidRPr="00C067E4">
        <w:rPr>
          <w:rFonts w:ascii="Times New Roman" w:hAnsi="Times New Roman" w:cs="Times New Roman"/>
          <w:sz w:val="28"/>
          <w:szCs w:val="28"/>
        </w:rPr>
        <w:tab/>
        <w:t>Разработка проекта поисково - аналитической системы объектов интеллектуальной собственности (проект Свиридовой Е.А.)</w:t>
      </w:r>
    </w:p>
    <w:p w14:paraId="085071E2" w14:textId="69396B8A" w:rsidR="004F2723" w:rsidRPr="00233E7E" w:rsidRDefault="003E0345" w:rsidP="00585FA4">
      <w:pPr>
        <w:pStyle w:val="a3"/>
        <w:tabs>
          <w:tab w:val="left" w:pos="284"/>
        </w:tabs>
        <w:ind w:left="0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7E4" w:rsidRPr="00C067E4">
        <w:rPr>
          <w:rFonts w:ascii="Times New Roman" w:hAnsi="Times New Roman" w:cs="Times New Roman"/>
          <w:sz w:val="28"/>
          <w:szCs w:val="28"/>
        </w:rPr>
        <w:t>.</w:t>
      </w:r>
      <w:r w:rsidR="00C067E4" w:rsidRPr="00C067E4">
        <w:rPr>
          <w:rFonts w:ascii="Times New Roman" w:hAnsi="Times New Roman" w:cs="Times New Roman"/>
          <w:sz w:val="28"/>
          <w:szCs w:val="28"/>
        </w:rPr>
        <w:tab/>
        <w:t>Интерактивный конструктор договоров как инструмент юридического сопровождения бизнеса (проект Свиридовой Е.А.)</w:t>
      </w:r>
    </w:p>
    <w:sectPr w:rsidR="004F2723" w:rsidRPr="00233E7E" w:rsidSect="0002532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D2340" w14:textId="77777777" w:rsidR="00A6672E" w:rsidRDefault="00A6672E" w:rsidP="004F2723">
      <w:pPr>
        <w:spacing w:after="0" w:line="240" w:lineRule="auto"/>
      </w:pPr>
      <w:r>
        <w:separator/>
      </w:r>
    </w:p>
  </w:endnote>
  <w:endnote w:type="continuationSeparator" w:id="0">
    <w:p w14:paraId="75F0BCA5" w14:textId="77777777" w:rsidR="00A6672E" w:rsidRDefault="00A6672E" w:rsidP="004F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C717B" w14:textId="77777777" w:rsidR="00A6672E" w:rsidRDefault="00A6672E" w:rsidP="004F2723">
      <w:pPr>
        <w:spacing w:after="0" w:line="240" w:lineRule="auto"/>
      </w:pPr>
      <w:r>
        <w:separator/>
      </w:r>
    </w:p>
  </w:footnote>
  <w:footnote w:type="continuationSeparator" w:id="0">
    <w:p w14:paraId="1306A71D" w14:textId="77777777" w:rsidR="00A6672E" w:rsidRDefault="00A6672E" w:rsidP="004F2723">
      <w:pPr>
        <w:spacing w:after="0" w:line="240" w:lineRule="auto"/>
      </w:pPr>
      <w:r>
        <w:continuationSeparator/>
      </w:r>
    </w:p>
  </w:footnote>
  <w:footnote w:id="1">
    <w:p w14:paraId="63AC2B3E" w14:textId="77777777" w:rsidR="004F2723" w:rsidRPr="00D94D66" w:rsidRDefault="004F2723" w:rsidP="004F27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D6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94D6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643A24">
        <w:rPr>
          <w:rFonts w:ascii="Times New Roman" w:hAnsi="Times New Roman" w:cs="Times New Roman"/>
          <w:sz w:val="24"/>
          <w:szCs w:val="24"/>
        </w:rPr>
        <w:t>на примере иных новых субъектов Российской Федерации</w:t>
      </w:r>
    </w:p>
  </w:footnote>
  <w:footnote w:id="2">
    <w:p w14:paraId="0BC7CBA3" w14:textId="4D37D870" w:rsidR="00A56CC4" w:rsidRDefault="00A56CC4">
      <w:pPr>
        <w:pStyle w:val="a5"/>
      </w:pPr>
      <w:r>
        <w:rPr>
          <w:rStyle w:val="a7"/>
        </w:rPr>
        <w:footnoteRef/>
      </w:r>
      <w:r>
        <w:t xml:space="preserve"> </w:t>
      </w:r>
      <w:r w:rsidRPr="00D94D66">
        <w:rPr>
          <w:rFonts w:ascii="Times New Roman" w:hAnsi="Times New Roman" w:cs="Times New Roman"/>
          <w:sz w:val="24"/>
          <w:szCs w:val="24"/>
        </w:rPr>
        <w:t>Здесь и далее: итоговый вариант темы ВКР должен содержать указание на конкретный хозяйствующий субъект, юридическое лицо, на примере которого обучающийся раскрывает тематику работы, например, «Правовой статус участника корпорации (на примере ГК Ростех)»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D94D66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(на примере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города Москвы» 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E1F26"/>
    <w:multiLevelType w:val="hybridMultilevel"/>
    <w:tmpl w:val="7E2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CD6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65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94" w:hanging="360"/>
      </w:pPr>
    </w:lvl>
    <w:lvl w:ilvl="2" w:tplc="0419001B" w:tentative="1">
      <w:start w:val="1"/>
      <w:numFmt w:val="lowerRoman"/>
      <w:lvlText w:val="%3."/>
      <w:lvlJc w:val="right"/>
      <w:pPr>
        <w:ind w:left="8114" w:hanging="180"/>
      </w:pPr>
    </w:lvl>
    <w:lvl w:ilvl="3" w:tplc="0419000F" w:tentative="1">
      <w:start w:val="1"/>
      <w:numFmt w:val="decimal"/>
      <w:lvlText w:val="%4."/>
      <w:lvlJc w:val="left"/>
      <w:pPr>
        <w:ind w:left="8834" w:hanging="360"/>
      </w:pPr>
    </w:lvl>
    <w:lvl w:ilvl="4" w:tplc="04190019" w:tentative="1">
      <w:start w:val="1"/>
      <w:numFmt w:val="lowerLetter"/>
      <w:lvlText w:val="%5."/>
      <w:lvlJc w:val="left"/>
      <w:pPr>
        <w:ind w:left="9554" w:hanging="360"/>
      </w:pPr>
    </w:lvl>
    <w:lvl w:ilvl="5" w:tplc="0419001B" w:tentative="1">
      <w:start w:val="1"/>
      <w:numFmt w:val="lowerRoman"/>
      <w:lvlText w:val="%6."/>
      <w:lvlJc w:val="right"/>
      <w:pPr>
        <w:ind w:left="10274" w:hanging="180"/>
      </w:pPr>
    </w:lvl>
    <w:lvl w:ilvl="6" w:tplc="0419000F" w:tentative="1">
      <w:start w:val="1"/>
      <w:numFmt w:val="decimal"/>
      <w:lvlText w:val="%7."/>
      <w:lvlJc w:val="left"/>
      <w:pPr>
        <w:ind w:left="10994" w:hanging="360"/>
      </w:pPr>
    </w:lvl>
    <w:lvl w:ilvl="7" w:tplc="04190019" w:tentative="1">
      <w:start w:val="1"/>
      <w:numFmt w:val="lowerLetter"/>
      <w:lvlText w:val="%8."/>
      <w:lvlJc w:val="left"/>
      <w:pPr>
        <w:ind w:left="11714" w:hanging="360"/>
      </w:pPr>
    </w:lvl>
    <w:lvl w:ilvl="8" w:tplc="0419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2" w15:restartNumberingAfterBreak="0">
    <w:nsid w:val="155C2D3F"/>
    <w:multiLevelType w:val="hybridMultilevel"/>
    <w:tmpl w:val="30B2A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04978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" w15:restartNumberingAfterBreak="0">
    <w:nsid w:val="38C65573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507DA"/>
    <w:multiLevelType w:val="hybridMultilevel"/>
    <w:tmpl w:val="EBC6B444"/>
    <w:lvl w:ilvl="0" w:tplc="3456412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3DEA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14C47"/>
    <w:multiLevelType w:val="hybridMultilevel"/>
    <w:tmpl w:val="5610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2960"/>
    <w:multiLevelType w:val="hybridMultilevel"/>
    <w:tmpl w:val="EDA0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F569E"/>
    <w:multiLevelType w:val="hybridMultilevel"/>
    <w:tmpl w:val="323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16072"/>
    <w:multiLevelType w:val="hybridMultilevel"/>
    <w:tmpl w:val="552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51954"/>
    <w:multiLevelType w:val="hybridMultilevel"/>
    <w:tmpl w:val="3AE2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3F9D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DD72306"/>
    <w:multiLevelType w:val="hybridMultilevel"/>
    <w:tmpl w:val="38381D08"/>
    <w:lvl w:ilvl="0" w:tplc="00C8724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C743024"/>
    <w:multiLevelType w:val="hybridMultilevel"/>
    <w:tmpl w:val="DDB886BE"/>
    <w:lvl w:ilvl="0" w:tplc="A2B23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96700"/>
    <w:multiLevelType w:val="hybridMultilevel"/>
    <w:tmpl w:val="E10C142C"/>
    <w:lvl w:ilvl="0" w:tplc="18640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05666">
    <w:abstractNumId w:val="11"/>
  </w:num>
  <w:num w:numId="2" w16cid:durableId="516697675">
    <w:abstractNumId w:val="10"/>
  </w:num>
  <w:num w:numId="3" w16cid:durableId="1435906142">
    <w:abstractNumId w:val="9"/>
  </w:num>
  <w:num w:numId="4" w16cid:durableId="1666662477">
    <w:abstractNumId w:val="13"/>
  </w:num>
  <w:num w:numId="5" w16cid:durableId="474878421">
    <w:abstractNumId w:val="6"/>
  </w:num>
  <w:num w:numId="6" w16cid:durableId="1947424421">
    <w:abstractNumId w:val="3"/>
  </w:num>
  <w:num w:numId="7" w16cid:durableId="1598322541">
    <w:abstractNumId w:val="7"/>
  </w:num>
  <w:num w:numId="8" w16cid:durableId="552154360">
    <w:abstractNumId w:val="0"/>
  </w:num>
  <w:num w:numId="9" w16cid:durableId="1142188744">
    <w:abstractNumId w:val="14"/>
  </w:num>
  <w:num w:numId="10" w16cid:durableId="1430856864">
    <w:abstractNumId w:val="4"/>
  </w:num>
  <w:num w:numId="11" w16cid:durableId="646669454">
    <w:abstractNumId w:val="1"/>
  </w:num>
  <w:num w:numId="12" w16cid:durableId="217133888">
    <w:abstractNumId w:val="12"/>
  </w:num>
  <w:num w:numId="13" w16cid:durableId="2084640858">
    <w:abstractNumId w:val="15"/>
  </w:num>
  <w:num w:numId="14" w16cid:durableId="685712551">
    <w:abstractNumId w:val="8"/>
  </w:num>
  <w:num w:numId="15" w16cid:durableId="1652369067">
    <w:abstractNumId w:val="5"/>
  </w:num>
  <w:num w:numId="16" w16cid:durableId="203438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79"/>
    <w:rsid w:val="000116FA"/>
    <w:rsid w:val="00025329"/>
    <w:rsid w:val="000700BD"/>
    <w:rsid w:val="000B3679"/>
    <w:rsid w:val="000C0F85"/>
    <w:rsid w:val="000E6E4C"/>
    <w:rsid w:val="00133EB7"/>
    <w:rsid w:val="001A30A6"/>
    <w:rsid w:val="001B56F7"/>
    <w:rsid w:val="001C6080"/>
    <w:rsid w:val="00233E7E"/>
    <w:rsid w:val="002767DA"/>
    <w:rsid w:val="00300CED"/>
    <w:rsid w:val="00300D4C"/>
    <w:rsid w:val="00305840"/>
    <w:rsid w:val="0032383E"/>
    <w:rsid w:val="00371255"/>
    <w:rsid w:val="003A5CD1"/>
    <w:rsid w:val="003B234F"/>
    <w:rsid w:val="003B5924"/>
    <w:rsid w:val="003B7D23"/>
    <w:rsid w:val="003C15A4"/>
    <w:rsid w:val="003C253B"/>
    <w:rsid w:val="003E0345"/>
    <w:rsid w:val="004639EE"/>
    <w:rsid w:val="004F2723"/>
    <w:rsid w:val="0058285C"/>
    <w:rsid w:val="00585FA4"/>
    <w:rsid w:val="00601E6D"/>
    <w:rsid w:val="00637467"/>
    <w:rsid w:val="00643A24"/>
    <w:rsid w:val="00643B43"/>
    <w:rsid w:val="00660E86"/>
    <w:rsid w:val="006B513D"/>
    <w:rsid w:val="00745561"/>
    <w:rsid w:val="007472FA"/>
    <w:rsid w:val="007C2AD7"/>
    <w:rsid w:val="00812C02"/>
    <w:rsid w:val="008302BB"/>
    <w:rsid w:val="0083521D"/>
    <w:rsid w:val="00846B15"/>
    <w:rsid w:val="00857A3F"/>
    <w:rsid w:val="008E1ACF"/>
    <w:rsid w:val="008E48EA"/>
    <w:rsid w:val="008F6701"/>
    <w:rsid w:val="009255C6"/>
    <w:rsid w:val="0093335A"/>
    <w:rsid w:val="00954CDB"/>
    <w:rsid w:val="00965778"/>
    <w:rsid w:val="00A56CC4"/>
    <w:rsid w:val="00A62C98"/>
    <w:rsid w:val="00A6672E"/>
    <w:rsid w:val="00A66B59"/>
    <w:rsid w:val="00AA4C18"/>
    <w:rsid w:val="00B8283E"/>
    <w:rsid w:val="00B941DF"/>
    <w:rsid w:val="00BA2822"/>
    <w:rsid w:val="00C067E4"/>
    <w:rsid w:val="00C23333"/>
    <w:rsid w:val="00C421EB"/>
    <w:rsid w:val="00C9327F"/>
    <w:rsid w:val="00DA5D23"/>
    <w:rsid w:val="00DC68D4"/>
    <w:rsid w:val="00DE61B9"/>
    <w:rsid w:val="00E40122"/>
    <w:rsid w:val="00EB17C8"/>
    <w:rsid w:val="00F92885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4318"/>
  <w15:chartTrackingRefBased/>
  <w15:docId w15:val="{46750E2D-AABE-42B8-B60F-1ADDECEB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F2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F27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27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2723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0116FA"/>
    <w:pPr>
      <w:spacing w:after="120" w:line="240" w:lineRule="auto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0116FA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aa">
    <w:name w:val="Revision"/>
    <w:hidden/>
    <w:uiPriority w:val="99"/>
    <w:semiHidden/>
    <w:rsid w:val="001A30A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2C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63C44-68C9-4B02-A8D0-F67A87603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F54F9-1D4F-4D3E-A8E9-E0088963B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4C24F-090C-40FA-8D64-5A1EFB0CC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F6E574-D74D-4D09-A419-9C4AC5DFD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Максименкова Татьяна Владимировна</dc:creator>
  <cp:keywords/>
  <dc:description/>
  <cp:lastModifiedBy>22 dd</cp:lastModifiedBy>
  <cp:revision>27</cp:revision>
  <cp:lastPrinted>2024-05-13T14:00:00Z</cp:lastPrinted>
  <dcterms:created xsi:type="dcterms:W3CDTF">2023-09-12T10:59:00Z</dcterms:created>
  <dcterms:modified xsi:type="dcterms:W3CDTF">2024-05-17T20:57:00Z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