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61" w:rsidRDefault="00A46E61" w:rsidP="00A46E61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A46E61" w:rsidRDefault="00A46E61" w:rsidP="00A46E61">
      <w:pPr>
        <w:spacing w:line="276" w:lineRule="auto"/>
        <w:jc w:val="center"/>
      </w:pPr>
      <w:r>
        <w:t xml:space="preserve">В ВИДЕ </w:t>
      </w:r>
      <w:r w:rsidR="00E42E70">
        <w:t>СЕКРЕТА ПРОИЗВОДСТВА (</w:t>
      </w:r>
      <w:r>
        <w:t>НОУ-ХАУ</w:t>
      </w:r>
      <w:r w:rsidR="00E42E70">
        <w:t>)</w:t>
      </w:r>
    </w:p>
    <w:p w:rsidR="00A46E61" w:rsidRDefault="00A46E61" w:rsidP="00A46E61">
      <w:pPr>
        <w:spacing w:line="276" w:lineRule="auto"/>
        <w:jc w:val="center"/>
        <w:rPr>
          <w:b/>
        </w:rPr>
      </w:pPr>
      <w:r>
        <w:rPr>
          <w:b/>
        </w:rPr>
        <w:t xml:space="preserve">МОДЕЛИ ОЦЕНКИ МЕЖПОКОЛЕНЧЕСКИХ КОММУНИКАЦИЙ </w:t>
      </w:r>
    </w:p>
    <w:p w:rsidR="00A46E61" w:rsidRDefault="00A46E61" w:rsidP="00A46E61">
      <w:pPr>
        <w:spacing w:line="276" w:lineRule="auto"/>
        <w:jc w:val="center"/>
        <w:rPr>
          <w:b/>
        </w:rPr>
      </w:pPr>
      <w:r>
        <w:rPr>
          <w:b/>
        </w:rPr>
        <w:t xml:space="preserve">И ДИАЛОГА ОРГАНОВ ГОСУДАРСТВЕННОЙ ВЛАСТИ </w:t>
      </w:r>
    </w:p>
    <w:p w:rsidR="00A46E61" w:rsidRPr="00A46E61" w:rsidRDefault="00A46E61" w:rsidP="00A46E61">
      <w:pPr>
        <w:spacing w:line="276" w:lineRule="auto"/>
        <w:jc w:val="center"/>
        <w:rPr>
          <w:b/>
        </w:rPr>
      </w:pPr>
      <w:r>
        <w:rPr>
          <w:b/>
        </w:rPr>
        <w:t>С МОЛОДЕЖЬЮ</w:t>
      </w:r>
    </w:p>
    <w:p w:rsidR="00A46E61" w:rsidRDefault="00A46E61" w:rsidP="00A46E61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A46E61" w:rsidRDefault="00A46E61" w:rsidP="00A46E61">
      <w:pPr>
        <w:spacing w:line="276" w:lineRule="auto"/>
        <w:jc w:val="center"/>
      </w:pPr>
      <w:r>
        <w:t>ОБЕСПЕЧЕНИЕ ДИАЛОГА С СОВРЕМЕННОЙ РОССИЙСКОЙ МОЛОДЕЖЬЮ В УСЛОВИЯХ МЕЖПОКОЛЕНЧЕСКИХ РАЗВЫВОВ И ПРОТИВОРЕЧИЙ,</w:t>
      </w:r>
    </w:p>
    <w:p w:rsidR="00A46E61" w:rsidRDefault="00A46E61" w:rsidP="00A46E61">
      <w:pPr>
        <w:spacing w:line="240" w:lineRule="auto"/>
        <w:jc w:val="center"/>
      </w:pPr>
      <w:r>
        <w:t>выполненной по государственному заданию на 2021 год</w:t>
      </w:r>
    </w:p>
    <w:p w:rsidR="00A46E61" w:rsidRDefault="00A46E61" w:rsidP="00A46E61">
      <w:pPr>
        <w:spacing w:line="240" w:lineRule="auto"/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758"/>
        <w:gridCol w:w="597"/>
      </w:tblGrid>
      <w:tr w:rsidR="00837581" w:rsidTr="00837581"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581" w:rsidRDefault="00837581" w:rsidP="00837581">
            <w:pPr>
              <w:spacing w:line="276" w:lineRule="auto"/>
            </w:pPr>
            <w:r w:rsidRPr="0088520A">
              <w:t>Сведения об автор</w:t>
            </w:r>
            <w:r>
              <w:t>ах</w:t>
            </w:r>
            <w:r w:rsidRPr="0088520A">
              <w:t>:</w:t>
            </w:r>
            <w:bookmarkStart w:id="0" w:name="_GoBack"/>
            <w:bookmarkEnd w:id="0"/>
          </w:p>
          <w:p w:rsidR="00530D1C" w:rsidRDefault="00530D1C" w:rsidP="00837581">
            <w:pPr>
              <w:spacing w:line="276" w:lineRule="auto"/>
            </w:pPr>
          </w:p>
          <w:p w:rsidR="00837581" w:rsidRDefault="00837581" w:rsidP="00837581">
            <w:pPr>
              <w:spacing w:line="276" w:lineRule="auto"/>
            </w:pPr>
          </w:p>
          <w:tbl>
            <w:tblPr>
              <w:tblStyle w:val="a5"/>
              <w:tblW w:w="8542" w:type="dxa"/>
              <w:tblInd w:w="0" w:type="dxa"/>
              <w:tblLook w:val="04A0" w:firstRow="1" w:lastRow="0" w:firstColumn="1" w:lastColumn="0" w:noHBand="0" w:noVBand="1"/>
            </w:tblPr>
            <w:tblGrid>
              <w:gridCol w:w="2796"/>
              <w:gridCol w:w="5746"/>
            </w:tblGrid>
            <w:tr w:rsidR="006B7D3D" w:rsidTr="00530D1C"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581" w:rsidRPr="00C326EA" w:rsidRDefault="00837581" w:rsidP="00837581">
                  <w:pPr>
                    <w:spacing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E4F5C0" wp14:editId="56B4A888">
                        <wp:extent cx="1485900" cy="1876425"/>
                        <wp:effectExtent l="0" t="0" r="0" b="9525"/>
                        <wp:docPr id="7" name="Рисунок 7" descr="Страницы - Руководств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траницы - Руководств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581" w:rsidRDefault="00837581" w:rsidP="00837581">
                  <w:pPr>
                    <w:spacing w:line="240" w:lineRule="auto"/>
                    <w:jc w:val="left"/>
                  </w:pPr>
                  <w:r>
                    <w:t xml:space="preserve">Шатилов Александр </w:t>
                  </w:r>
                  <w:r w:rsidR="00614E7A">
                    <w:t>Б</w:t>
                  </w:r>
                  <w:r>
                    <w:t>орисович,</w:t>
                  </w:r>
                </w:p>
                <w:p w:rsidR="00837581" w:rsidRDefault="00837581" w:rsidP="00837581">
                  <w:pPr>
                    <w:spacing w:line="240" w:lineRule="auto"/>
                    <w:jc w:val="left"/>
                  </w:pPr>
                  <w:r>
                    <w:t>кандидат политичес</w:t>
                  </w:r>
                  <w:r w:rsidR="00530D1C">
                    <w:t>ких наук, доцент,</w:t>
                  </w:r>
                </w:p>
                <w:p w:rsidR="006E7646" w:rsidRDefault="006E7646" w:rsidP="006E7646">
                  <w:pPr>
                    <w:spacing w:line="240" w:lineRule="auto"/>
                    <w:jc w:val="left"/>
                  </w:pPr>
                  <w:r>
                    <w:t>профессор Д</w:t>
                  </w:r>
                  <w:r w:rsidR="00837581">
                    <w:t>епартамента политологии</w:t>
                  </w:r>
                  <w:r>
                    <w:t xml:space="preserve"> </w:t>
                  </w:r>
                  <w:r w:rsidRPr="00E04067">
                    <w:t>Факультета социальных</w:t>
                  </w:r>
                  <w:r>
                    <w:t> </w:t>
                  </w:r>
                  <w:r w:rsidRPr="00E04067">
                    <w:t>наук</w:t>
                  </w:r>
                  <w:r>
                    <w:t> </w:t>
                  </w:r>
                  <w:r w:rsidRPr="00E04067">
                    <w:t>и</w:t>
                  </w:r>
                  <w:r>
                    <w:t> </w:t>
                  </w:r>
                </w:p>
                <w:p w:rsidR="00837581" w:rsidRDefault="006E7646" w:rsidP="00837581">
                  <w:pPr>
                    <w:spacing w:line="240" w:lineRule="auto"/>
                    <w:jc w:val="left"/>
                  </w:pPr>
                  <w:r w:rsidRPr="00E04067">
                    <w:t>массовых коммуникаций</w:t>
                  </w:r>
                  <w:r w:rsidR="00837581">
                    <w:t xml:space="preserve">, </w:t>
                  </w:r>
                </w:p>
                <w:p w:rsidR="00837581" w:rsidRDefault="00837581" w:rsidP="00837581">
                  <w:pPr>
                    <w:spacing w:line="240" w:lineRule="auto"/>
                    <w:jc w:val="left"/>
                  </w:pPr>
                  <w:r>
                    <w:t>декан</w:t>
                  </w:r>
                  <w:r w:rsidRPr="00E04067">
                    <w:t xml:space="preserve"> Факультета социальных</w:t>
                  </w:r>
                  <w:r>
                    <w:t> </w:t>
                  </w:r>
                  <w:r w:rsidRPr="00E04067">
                    <w:t>наук</w:t>
                  </w:r>
                  <w:r>
                    <w:t> </w:t>
                  </w:r>
                  <w:r w:rsidRPr="00E04067">
                    <w:t>и</w:t>
                  </w:r>
                  <w:r>
                    <w:t> </w:t>
                  </w:r>
                </w:p>
                <w:p w:rsidR="00837581" w:rsidRDefault="00837581" w:rsidP="00837581">
                  <w:pPr>
                    <w:spacing w:line="240" w:lineRule="auto"/>
                    <w:jc w:val="left"/>
                  </w:pPr>
                  <w:r w:rsidRPr="00E04067">
                    <w:t>массовых коммуникаций</w:t>
                  </w:r>
                </w:p>
                <w:p w:rsidR="00837581" w:rsidRDefault="00837581" w:rsidP="00837581">
                  <w:pPr>
                    <w:spacing w:line="240" w:lineRule="auto"/>
                    <w:jc w:val="left"/>
                  </w:pPr>
                </w:p>
                <w:p w:rsidR="00837581" w:rsidRDefault="00837581" w:rsidP="0083758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Контакты: +7(499)943-98-42</w:t>
                  </w:r>
                </w:p>
                <w:p w:rsidR="00837581" w:rsidRPr="003A1A65" w:rsidRDefault="00271354" w:rsidP="0083758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hyperlink r:id="rId6" w:history="1">
                    <w:r w:rsidR="00837581" w:rsidRPr="00432542">
                      <w:rPr>
                        <w:rStyle w:val="a3"/>
                        <w:sz w:val="22"/>
                        <w:szCs w:val="22"/>
                        <w:lang w:val="en-US"/>
                      </w:rPr>
                      <w:t>AShatilov</w:t>
                    </w:r>
                    <w:r w:rsidR="00837581" w:rsidRPr="00990E33">
                      <w:rPr>
                        <w:rStyle w:val="a3"/>
                        <w:sz w:val="22"/>
                        <w:szCs w:val="22"/>
                      </w:rPr>
                      <w:t>@</w:t>
                    </w:r>
                    <w:r w:rsidR="00837581" w:rsidRPr="00432542">
                      <w:rPr>
                        <w:rStyle w:val="a3"/>
                        <w:sz w:val="22"/>
                        <w:szCs w:val="22"/>
                        <w:lang w:val="en-US"/>
                      </w:rPr>
                      <w:t>fa</w:t>
                    </w:r>
                    <w:r w:rsidR="00837581" w:rsidRPr="00990E33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proofErr w:type="spellStart"/>
                    <w:r w:rsidR="00837581" w:rsidRPr="00432542">
                      <w:rPr>
                        <w:rStyle w:val="a3"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37581" w:rsidRDefault="00837581" w:rsidP="00837581">
                  <w:pPr>
                    <w:spacing w:line="240" w:lineRule="auto"/>
                    <w:jc w:val="left"/>
                  </w:pPr>
                </w:p>
                <w:p w:rsidR="00837581" w:rsidRDefault="00837581" w:rsidP="00837581">
                  <w:pPr>
                    <w:spacing w:line="240" w:lineRule="auto"/>
                    <w:jc w:val="left"/>
                  </w:pPr>
                </w:p>
              </w:tc>
            </w:tr>
            <w:tr w:rsidR="006B7D3D" w:rsidTr="00530D1C"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581" w:rsidRDefault="006B7D3D" w:rsidP="00837581">
                  <w:pPr>
                    <w:spacing w:line="27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04950" cy="2047875"/>
                        <wp:effectExtent l="0" t="0" r="0" b="9525"/>
                        <wp:docPr id="9" name="Рисунок 9" descr="Страницы - Руководств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траницы - Руководств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581" w:rsidRDefault="00614E7A" w:rsidP="00837581">
                  <w:pPr>
                    <w:spacing w:line="240" w:lineRule="auto"/>
                    <w:jc w:val="left"/>
                  </w:pPr>
                  <w:r>
                    <w:t>Расторгуев Сергей Викторович</w:t>
                  </w:r>
                  <w:r w:rsidR="00837581">
                    <w:t xml:space="preserve">, </w:t>
                  </w:r>
                </w:p>
                <w:p w:rsidR="00614E7A" w:rsidRDefault="00614E7A" w:rsidP="00614E7A">
                  <w:pPr>
                    <w:spacing w:line="240" w:lineRule="auto"/>
                    <w:jc w:val="left"/>
                  </w:pPr>
                  <w:r>
                    <w:t>доктор политических наук,</w:t>
                  </w:r>
                </w:p>
                <w:p w:rsidR="00614E7A" w:rsidRDefault="00614E7A" w:rsidP="00614E7A">
                  <w:pPr>
                    <w:spacing w:line="240" w:lineRule="auto"/>
                    <w:jc w:val="left"/>
                  </w:pPr>
                  <w:r>
                    <w:t xml:space="preserve">профессор Департамента политологии </w:t>
                  </w:r>
                  <w:r w:rsidRPr="00E04067">
                    <w:t>Факультета социальных</w:t>
                  </w:r>
                  <w:r>
                    <w:t> </w:t>
                  </w:r>
                  <w:r w:rsidRPr="00E04067">
                    <w:t>наук</w:t>
                  </w:r>
                  <w:r>
                    <w:t> </w:t>
                  </w:r>
                  <w:r w:rsidRPr="00E04067">
                    <w:t>и</w:t>
                  </w:r>
                  <w:r>
                    <w:t> </w:t>
                  </w:r>
                </w:p>
                <w:p w:rsidR="00837581" w:rsidRDefault="00614E7A" w:rsidP="00614E7A">
                  <w:pPr>
                    <w:spacing w:line="276" w:lineRule="auto"/>
                  </w:pPr>
                  <w:r w:rsidRPr="00E04067">
                    <w:t>массовых коммуникаций</w:t>
                  </w:r>
                </w:p>
                <w:p w:rsidR="00837581" w:rsidRDefault="00837581" w:rsidP="00837581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837581" w:rsidRDefault="00614E7A" w:rsidP="0083758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Контакты: +7(499)943-93-11</w:t>
                  </w:r>
                </w:p>
                <w:p w:rsidR="00837581" w:rsidRPr="00614E7A" w:rsidRDefault="00271354" w:rsidP="00837581">
                  <w:pPr>
                    <w:spacing w:line="276" w:lineRule="auto"/>
                    <w:rPr>
                      <w:sz w:val="22"/>
                      <w:szCs w:val="22"/>
                      <w:u w:val="single"/>
                    </w:rPr>
                  </w:pPr>
                  <w:hyperlink r:id="rId8" w:history="1">
                    <w:r w:rsidR="00614E7A" w:rsidRPr="00614E7A">
                      <w:rPr>
                        <w:rStyle w:val="a3"/>
                        <w:sz w:val="22"/>
                        <w:szCs w:val="22"/>
                      </w:rPr>
                      <w:t xml:space="preserve"> srastorguev@fa.ru </w:t>
                    </w:r>
                  </w:hyperlink>
                </w:p>
                <w:p w:rsidR="00837581" w:rsidRPr="003A1A65" w:rsidRDefault="00837581" w:rsidP="00837581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B7D3D" w:rsidTr="00530D1C"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581" w:rsidRDefault="00C448FE" w:rsidP="00837581">
                  <w:pPr>
                    <w:spacing w:line="276" w:lineRule="auto"/>
                  </w:pPr>
                  <w:r>
                    <w:rPr>
                      <w:noProof/>
                    </w:rPr>
                    <w:lastRenderedPageBreak/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2085975"/>
                        <wp:effectExtent l="0" t="0" r="0" b="9525"/>
                        <wp:docPr id="10" name="Рисунок 10" descr="Пырма Роман Васильевич - MyPrepo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Пырма Роман Васильевич - MyPrepo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581" w:rsidRDefault="00837581" w:rsidP="00837581">
                  <w:pPr>
                    <w:spacing w:line="240" w:lineRule="auto"/>
                    <w:jc w:val="left"/>
                  </w:pPr>
                </w:p>
                <w:p w:rsidR="00837581" w:rsidRDefault="00C448FE" w:rsidP="00837581">
                  <w:pPr>
                    <w:spacing w:line="240" w:lineRule="auto"/>
                    <w:jc w:val="left"/>
                  </w:pPr>
                  <w:r>
                    <w:t>Парма Роман Васильевич</w:t>
                  </w:r>
                  <w:r w:rsidR="00837581">
                    <w:t>,</w:t>
                  </w:r>
                </w:p>
                <w:p w:rsidR="00C448FE" w:rsidRDefault="00C448FE" w:rsidP="00C448FE">
                  <w:pPr>
                    <w:spacing w:line="240" w:lineRule="auto"/>
                    <w:jc w:val="left"/>
                  </w:pPr>
                  <w:r>
                    <w:t>кандидат политических наук,</w:t>
                  </w:r>
                </w:p>
                <w:p w:rsidR="00C448FE" w:rsidRDefault="00C448FE" w:rsidP="00C448FE">
                  <w:pPr>
                    <w:spacing w:line="240" w:lineRule="auto"/>
                    <w:jc w:val="left"/>
                  </w:pPr>
                  <w:r>
                    <w:t xml:space="preserve">доцент Департамента политологии </w:t>
                  </w:r>
                  <w:r w:rsidRPr="00E04067">
                    <w:t>Факультета социальных</w:t>
                  </w:r>
                  <w:r>
                    <w:t> </w:t>
                  </w:r>
                  <w:r w:rsidRPr="00E04067">
                    <w:t>наук</w:t>
                  </w:r>
                  <w:r>
                    <w:t> </w:t>
                  </w:r>
                  <w:r w:rsidRPr="00E04067">
                    <w:t>и</w:t>
                  </w:r>
                  <w:r>
                    <w:t> </w:t>
                  </w:r>
                </w:p>
                <w:p w:rsidR="00837581" w:rsidRDefault="00C448FE" w:rsidP="00C448FE">
                  <w:pPr>
                    <w:spacing w:line="240" w:lineRule="auto"/>
                  </w:pPr>
                  <w:r w:rsidRPr="00E04067">
                    <w:t>массовых коммуникаций</w:t>
                  </w:r>
                </w:p>
                <w:p w:rsidR="00837581" w:rsidRDefault="00837581" w:rsidP="00837581">
                  <w:pPr>
                    <w:spacing w:line="276" w:lineRule="auto"/>
                  </w:pPr>
                </w:p>
                <w:p w:rsidR="00837581" w:rsidRDefault="00E56E4F" w:rsidP="0083758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Контакты: +7(499)943-93-11</w:t>
                  </w:r>
                </w:p>
                <w:p w:rsidR="00837581" w:rsidRPr="00E56E4F" w:rsidRDefault="00271354" w:rsidP="00837581">
                  <w:pPr>
                    <w:spacing w:line="276" w:lineRule="auto"/>
                    <w:rPr>
                      <w:sz w:val="22"/>
                      <w:szCs w:val="22"/>
                      <w:u w:val="single"/>
                    </w:rPr>
                  </w:pPr>
                  <w:hyperlink r:id="rId10" w:history="1">
                    <w:r w:rsidR="00530D1C" w:rsidRPr="00155A2A">
                      <w:rPr>
                        <w:rStyle w:val="a3"/>
                        <w:sz w:val="22"/>
                        <w:szCs w:val="22"/>
                      </w:rPr>
                      <w:t>rvparma@fa.ru</w:t>
                    </w:r>
                  </w:hyperlink>
                </w:p>
              </w:tc>
            </w:tr>
          </w:tbl>
          <w:p w:rsidR="00837581" w:rsidRDefault="00837581" w:rsidP="00837581">
            <w:pPr>
              <w:spacing w:line="276" w:lineRule="auto"/>
            </w:pPr>
          </w:p>
          <w:p w:rsidR="00A46E61" w:rsidRDefault="0048301D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Декан факультета социологии и политологии Финансового университета при правительстве РФ Александр Шатилов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B184D" id="Прямоугольник 4" o:spid="_x0000_s1026" alt="Декан факультета социологии и политологии Финансового университета при правительстве РФ Александр Шатилов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Q+RYtiAwAAmQYAAA4A&#10;AAAAAAAAAAAAAAAALgIAAGRycy9lMm9Eb2MueG1sUEsBAi0AFAAGAAgAAAAhAEyg6SzYAAAAAwEA&#10;AA8AAAAAAAAAAAAAAAAAvAUAAGRycy9kb3ducmV2LnhtbFBLBQYAAAAABAAEAPMAAAD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Декан факультета социологии и политологии Финансового университета при правительстве РФ Александр Шатилов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6AD4E" id="Прямоугольник 3" o:spid="_x0000_s1026" alt="Декан факультета социологии и политологии Финансового университета при правительстве РФ Александр Шатилов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3V94xiAwAAmQYAAA4A&#10;AAAAAAAAAAAAAAAALgIAAGRycy9lMm9Eb2MueG1sUEsBAi0AFAAGAAgAAAAhAEyg6SzYAAAAAwEA&#10;AA8AAAAAAAAAAAAAAAAAvAUAAGRycy9kb3ducmV2LnhtbFBLBQYAAAAABAAEAPMAAAD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46E61" w:rsidRPr="00130BD3" w:rsidRDefault="00A46E6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6E61" w:rsidRPr="00130BD3" w:rsidRDefault="00A46E6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37581" w:rsidTr="00837581"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D1C" w:rsidRDefault="00530D1C" w:rsidP="00530D1C">
            <w:pPr>
              <w:jc w:val="center"/>
              <w:rPr>
                <w:b/>
              </w:rPr>
            </w:pPr>
            <w:r>
              <w:rPr>
                <w:b/>
              </w:rPr>
              <w:t>РЕКЛАМНО-ТЕХНИЧЕСКОЕ ОПИСАНИЕ</w:t>
            </w:r>
          </w:p>
          <w:p w:rsidR="00E3054A" w:rsidRDefault="00530D1C" w:rsidP="00790DBE">
            <w:pPr>
              <w:shd w:val="clear" w:color="auto" w:fill="FFFFFF"/>
              <w:spacing w:line="240" w:lineRule="auto"/>
              <w:ind w:firstLine="709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D3F3E">
              <w:rPr>
                <w:rFonts w:eastAsia="Times New Roman"/>
                <w:i/>
                <w:iCs/>
                <w:color w:val="000000"/>
              </w:rPr>
              <w:t xml:space="preserve">Информация о технологии и научном </w:t>
            </w:r>
          </w:p>
          <w:p w:rsidR="00530D1C" w:rsidRDefault="00530D1C" w:rsidP="00790DBE">
            <w:pPr>
              <w:shd w:val="clear" w:color="auto" w:fill="FFFFFF"/>
              <w:spacing w:line="240" w:lineRule="auto"/>
              <w:ind w:firstLine="709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D3F3E">
              <w:rPr>
                <w:rFonts w:eastAsia="Times New Roman"/>
                <w:i/>
                <w:iCs/>
                <w:color w:val="000000"/>
              </w:rPr>
              <w:t>(научно-техническом) заделе</w:t>
            </w:r>
            <w:r>
              <w:rPr>
                <w:rFonts w:eastAsia="Times New Roman"/>
                <w:i/>
                <w:iCs/>
                <w:color w:val="000000"/>
              </w:rPr>
              <w:t>:</w:t>
            </w:r>
          </w:p>
          <w:p w:rsidR="00EA324C" w:rsidRDefault="00CB6AEA" w:rsidP="003F340D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          </w:t>
            </w:r>
            <w:r w:rsidR="00530D1C">
              <w:rPr>
                <w:rFonts w:eastAsia="Times New Roman"/>
                <w:iCs/>
                <w:color w:val="000000"/>
              </w:rPr>
              <w:t xml:space="preserve">РИД </w:t>
            </w:r>
            <w:r w:rsidR="00EA324C">
              <w:t>представляет собой</w:t>
            </w:r>
            <w:r w:rsidR="007F38C3">
              <w:t xml:space="preserve"> </w:t>
            </w:r>
            <w:r w:rsidR="00E42E70">
              <w:t>секрет производства (</w:t>
            </w:r>
            <w:r w:rsidR="007F38C3">
              <w:t>ноу-хау</w:t>
            </w:r>
            <w:r w:rsidR="00E42E70">
              <w:t>)</w:t>
            </w:r>
            <w:r>
              <w:rPr>
                <w:b/>
              </w:rPr>
              <w:t xml:space="preserve"> </w:t>
            </w:r>
            <w:r>
              <w:t xml:space="preserve">«Модели оценки </w:t>
            </w:r>
            <w:proofErr w:type="spellStart"/>
            <w:r>
              <w:t>межпоколенческих</w:t>
            </w:r>
            <w:proofErr w:type="spellEnd"/>
            <w:r>
              <w:t xml:space="preserve"> коммуникаций и диалога органов государственной власти с молодежью»</w:t>
            </w:r>
            <w:r w:rsidR="007F38C3">
              <w:t>, полученное</w:t>
            </w:r>
            <w:r w:rsidR="00530D1C">
              <w:t xml:space="preserve"> </w:t>
            </w:r>
            <w:r w:rsidR="00530D1C" w:rsidRPr="00BD3F3E">
              <w:rPr>
                <w:rFonts w:eastAsia="Times New Roman"/>
                <w:color w:val="000000"/>
              </w:rPr>
              <w:t>в рамках научно</w:t>
            </w:r>
            <w:r w:rsidR="00530D1C">
              <w:rPr>
                <w:rFonts w:eastAsia="Times New Roman"/>
                <w:color w:val="000000"/>
              </w:rPr>
              <w:t>-</w:t>
            </w:r>
            <w:r w:rsidR="00530D1C" w:rsidRPr="00BD3F3E">
              <w:rPr>
                <w:rFonts w:eastAsia="Times New Roman"/>
                <w:color w:val="000000"/>
              </w:rPr>
              <w:t>и</w:t>
            </w:r>
            <w:r w:rsidR="00530D1C">
              <w:rPr>
                <w:rFonts w:eastAsia="Times New Roman"/>
                <w:color w:val="000000"/>
              </w:rPr>
              <w:t xml:space="preserve">сследовательской работы </w:t>
            </w:r>
            <w:r w:rsidR="007F38C3">
              <w:t xml:space="preserve">«Обеспечение диалога с современной российской молодежью в условиях </w:t>
            </w:r>
            <w:proofErr w:type="spellStart"/>
            <w:r w:rsidR="007F38C3">
              <w:t>межпоколенческих</w:t>
            </w:r>
            <w:proofErr w:type="spellEnd"/>
            <w:r w:rsidR="007F38C3">
              <w:t xml:space="preserve"> разрывов и противоречий»</w:t>
            </w:r>
            <w:r w:rsidR="00530D1C">
              <w:t>, выполненной по</w:t>
            </w:r>
            <w:r w:rsidR="007F38C3">
              <w:t xml:space="preserve"> государственному заданию в 2021</w:t>
            </w:r>
            <w:r w:rsidR="00530D1C">
              <w:t xml:space="preserve"> г</w:t>
            </w:r>
            <w:r w:rsidR="00530D1C" w:rsidRPr="0069335B">
              <w:t>.</w:t>
            </w:r>
            <w:r w:rsidR="00530D1C">
              <w:rPr>
                <w:rFonts w:eastAsia="Times New Roman"/>
                <w:color w:val="000000"/>
              </w:rPr>
              <w:t xml:space="preserve"> </w:t>
            </w:r>
          </w:p>
          <w:p w:rsidR="006D02A1" w:rsidRDefault="006B2776" w:rsidP="006D02A1">
            <w:pPr>
              <w:spacing w:line="240" w:lineRule="auto"/>
              <w:ind w:firstLine="851"/>
            </w:pPr>
            <w:r>
              <w:t>Авторы исслед</w:t>
            </w:r>
            <w:r w:rsidR="00967ED1">
              <w:t xml:space="preserve">ования сформировали </w:t>
            </w:r>
            <w:proofErr w:type="spellStart"/>
            <w:r w:rsidR="00967ED1">
              <w:t>трехакторные</w:t>
            </w:r>
            <w:proofErr w:type="spellEnd"/>
            <w:r w:rsidR="00967ED1">
              <w:t xml:space="preserve"> </w:t>
            </w:r>
            <w:r w:rsidR="000453E1">
              <w:t xml:space="preserve">двухуровневые </w:t>
            </w:r>
            <w:r w:rsidR="00967ED1">
              <w:t>модели</w:t>
            </w:r>
            <w:r>
              <w:t xml:space="preserve"> </w:t>
            </w:r>
            <w:proofErr w:type="spellStart"/>
            <w:r>
              <w:t>межпоколенческого</w:t>
            </w:r>
            <w:proofErr w:type="spellEnd"/>
            <w:r>
              <w:t xml:space="preserve"> </w:t>
            </w:r>
            <w:r w:rsidR="00967ED1">
              <w:t>обмена ресурсами, позволяющие</w:t>
            </w:r>
            <w:r w:rsidR="00E14844">
              <w:t xml:space="preserve"> оценить наличие или отсутствие ресурсного</w:t>
            </w:r>
            <w:r w:rsidR="00CB6AEA">
              <w:t xml:space="preserve"> баланс</w:t>
            </w:r>
            <w:r w:rsidR="00E14844">
              <w:t>а, детерминирующего</w:t>
            </w:r>
            <w:r w:rsidR="00CB6AEA">
              <w:t xml:space="preserve"> все формы духовной и материальной деятельности. </w:t>
            </w:r>
            <w:r w:rsidR="00967ED1">
              <w:t>М</w:t>
            </w:r>
            <w:r w:rsidR="00967ED1" w:rsidRPr="00D96893">
              <w:t>одель м</w:t>
            </w:r>
            <w:r w:rsidR="00967ED1">
              <w:t>и</w:t>
            </w:r>
            <w:r w:rsidR="00967ED1" w:rsidRPr="00D96893">
              <w:t xml:space="preserve">кроуровня рассматривает обмен ресурсами между тремя поколениями на уровне </w:t>
            </w:r>
            <w:r w:rsidR="00967ED1">
              <w:t>семьи. М</w:t>
            </w:r>
            <w:r w:rsidR="00967ED1" w:rsidRPr="00D96893">
              <w:t>одель м</w:t>
            </w:r>
            <w:r w:rsidR="00967ED1">
              <w:t>а</w:t>
            </w:r>
            <w:r w:rsidR="00967ED1" w:rsidRPr="00D96893">
              <w:t xml:space="preserve">кроуровня рассматривает обмен ресурсами между тремя поколениями на уровне трудовых коллективов, политических, общественных организаций, неформальных социальных сетей. Под ресурсами в </w:t>
            </w:r>
            <w:r w:rsidR="00967ED1">
              <w:t xml:space="preserve">обеих </w:t>
            </w:r>
            <w:r w:rsidR="00DF5C5A">
              <w:t>моделях</w:t>
            </w:r>
            <w:r w:rsidR="00967ED1" w:rsidRPr="00D96893">
              <w:t xml:space="preserve"> рассматриваются две категории: материальные ресурсы (деньги, недвижимое имущество, движимое имущество, материальные услуги), нематериальные ресурсы (знан</w:t>
            </w:r>
            <w:r w:rsidR="00967ED1">
              <w:t xml:space="preserve">ия, умения, навыки, ценности). </w:t>
            </w:r>
            <w:r w:rsidR="00D802F8">
              <w:t>Обе м</w:t>
            </w:r>
            <w:r w:rsidR="005C7D20" w:rsidRPr="00D96893">
              <w:t>од</w:t>
            </w:r>
            <w:r w:rsidR="000453E1">
              <w:t>ели включа</w:t>
            </w:r>
            <w:r w:rsidR="00D802F8">
              <w:t>ют</w:t>
            </w:r>
            <w:r w:rsidR="005C7D20" w:rsidRPr="00D96893">
              <w:t xml:space="preserve"> три варианта результатов обмена ресурсами </w:t>
            </w:r>
            <w:r w:rsidR="005C7D20">
              <w:t xml:space="preserve">в обществе </w:t>
            </w:r>
            <w:r w:rsidR="00D802F8">
              <w:t>между</w:t>
            </w:r>
            <w:r w:rsidR="005C7D20" w:rsidRPr="00D96893">
              <w:t xml:space="preserve"> поколениями: донорство, паритет, </w:t>
            </w:r>
            <w:proofErr w:type="spellStart"/>
            <w:r w:rsidR="005C7D20" w:rsidRPr="00D96893">
              <w:t>реципиенство</w:t>
            </w:r>
            <w:proofErr w:type="spellEnd"/>
            <w:r w:rsidR="005C7D20" w:rsidRPr="00D96893">
              <w:t xml:space="preserve">. </w:t>
            </w:r>
            <w:r w:rsidR="005C7D20">
              <w:t xml:space="preserve">В отличие от модели микроуровня на макроуровне учитываются балансы обмена ресурсами </w:t>
            </w:r>
            <w:r w:rsidR="00790DBE">
              <w:t xml:space="preserve">и </w:t>
            </w:r>
            <w:r w:rsidR="005C7D20">
              <w:t xml:space="preserve">внутри одного поколения. </w:t>
            </w:r>
            <w:r w:rsidR="005C7D20" w:rsidRPr="00D96893">
              <w:t>Расчет сложившегося баланса обменных операций в модели микроуровня и модели макроуровня производится на основе анализа результатов анкетирования и интервьюирования репрезентативных выборок респондентов трех поколений.</w:t>
            </w:r>
            <w:r w:rsidR="00F17DE5">
              <w:t xml:space="preserve"> </w:t>
            </w:r>
            <w:r w:rsidR="003D23B9">
              <w:t>Для выражения моделей</w:t>
            </w:r>
            <w:r w:rsidR="00AC3513" w:rsidRPr="0069686F">
              <w:t xml:space="preserve"> </w:t>
            </w:r>
            <w:r w:rsidR="003D23B9">
              <w:t>сформирована</w:t>
            </w:r>
            <w:r w:rsidR="00790DBE">
              <w:t xml:space="preserve"> и представлена </w:t>
            </w:r>
            <w:r w:rsidR="00D53781">
              <w:t xml:space="preserve">в научно-исследовательской работе </w:t>
            </w:r>
            <w:r w:rsidR="00790DBE">
              <w:t>матричная система</w:t>
            </w:r>
            <w:r w:rsidR="00AC3513">
              <w:t xml:space="preserve"> </w:t>
            </w:r>
            <w:r w:rsidR="00AC3513">
              <w:lastRenderedPageBreak/>
              <w:t xml:space="preserve">с присвоением каждому исходу цифровых значений от 0 до 1. </w:t>
            </w:r>
            <w:r w:rsidR="00D53781">
              <w:t xml:space="preserve">Авторы предложили оригинальную форму записи исходов </w:t>
            </w:r>
            <w:proofErr w:type="spellStart"/>
            <w:r w:rsidR="00D53781">
              <w:t>межпоколенческих</w:t>
            </w:r>
            <w:proofErr w:type="spellEnd"/>
            <w:r w:rsidR="00D53781">
              <w:t xml:space="preserve"> балансов обменов, в рамках которой в</w:t>
            </w:r>
            <w:r w:rsidR="00AC3513">
              <w:t xml:space="preserve"> случае паритета баланса обменов ресурсами ставится исход 1:1, в случае донорства 1:0, </w:t>
            </w:r>
            <w:proofErr w:type="spellStart"/>
            <w:r w:rsidR="00AC3513">
              <w:t>реципиенство</w:t>
            </w:r>
            <w:proofErr w:type="spellEnd"/>
            <w:r w:rsidR="00AC3513">
              <w:t xml:space="preserve"> записывается как 0:1. </w:t>
            </w:r>
            <w:r w:rsidR="00D53781">
              <w:t>В</w:t>
            </w:r>
            <w:r w:rsidR="0011293A">
              <w:t xml:space="preserve"> модели макроуровня рассматривается баланс обменов </w:t>
            </w:r>
            <w:r w:rsidR="0011293A" w:rsidRPr="00D96893">
              <w:t>материальны</w:t>
            </w:r>
            <w:r w:rsidR="0011293A">
              <w:t>ми</w:t>
            </w:r>
            <w:r w:rsidR="0011293A" w:rsidRPr="00D96893">
              <w:t xml:space="preserve"> ресурс</w:t>
            </w:r>
            <w:r w:rsidR="00D53781">
              <w:t>ами</w:t>
            </w:r>
            <w:r w:rsidR="0011293A">
              <w:t xml:space="preserve"> и </w:t>
            </w:r>
            <w:r w:rsidR="00D53781">
              <w:t xml:space="preserve">нематериальными ресурсами как между </w:t>
            </w:r>
            <w:r w:rsidR="0011293A">
              <w:t>поколени</w:t>
            </w:r>
            <w:r w:rsidR="00D53781">
              <w:t>ями, так и внутри поколения, что</w:t>
            </w:r>
            <w:r w:rsidR="0011293A">
              <w:t xml:space="preserve"> позволяет выявить степень влияния каждой из трех </w:t>
            </w:r>
            <w:proofErr w:type="spellStart"/>
            <w:r w:rsidR="0011293A">
              <w:t>поколенческих</w:t>
            </w:r>
            <w:proofErr w:type="spellEnd"/>
            <w:r w:rsidR="0011293A">
              <w:t xml:space="preserve"> групп на конкретного индивида или группу индивидов (последняя может быть получена в результате расчета среднеарифметической величины балансов обмена ресурсами конкретной группы с тремя </w:t>
            </w:r>
            <w:proofErr w:type="spellStart"/>
            <w:r w:rsidR="0011293A">
              <w:t>поколенческими</w:t>
            </w:r>
            <w:proofErr w:type="spellEnd"/>
            <w:r w:rsidR="0011293A">
              <w:t xml:space="preserve"> «когортами»). </w:t>
            </w:r>
            <w:r w:rsidR="00C146E2">
              <w:t>М</w:t>
            </w:r>
            <w:r w:rsidR="000625F9" w:rsidRPr="000625F9">
              <w:t xml:space="preserve">одель обмена ресурсами на макроуровне позволяет установить значение каждой возрастной «когорты» в формировании знаний, умений, навыков, ценностных </w:t>
            </w:r>
            <w:r w:rsidR="006D02A1">
              <w:t xml:space="preserve">ориентаций конкретного </w:t>
            </w:r>
            <w:proofErr w:type="spellStart"/>
            <w:r w:rsidR="006D02A1">
              <w:t>актора</w:t>
            </w:r>
            <w:proofErr w:type="spellEnd"/>
            <w:r w:rsidR="006D02A1">
              <w:t xml:space="preserve">. </w:t>
            </w:r>
          </w:p>
          <w:p w:rsidR="004452A9" w:rsidRDefault="003D23B9" w:rsidP="006D02A1">
            <w:pPr>
              <w:spacing w:line="240" w:lineRule="auto"/>
              <w:ind w:firstLine="851"/>
            </w:pPr>
            <w:r>
              <w:t>Кроме того, авторы исследования рассмотрели</w:t>
            </w:r>
            <w:r w:rsidR="000625F9" w:rsidRPr="000625F9">
              <w:t xml:space="preserve"> органы государственной власти и местного самоуправления Российской Федерации</w:t>
            </w:r>
            <w:r w:rsidR="002909D4">
              <w:t xml:space="preserve"> как </w:t>
            </w:r>
            <w:proofErr w:type="spellStart"/>
            <w:r w:rsidR="002909D4">
              <w:t>акторов</w:t>
            </w:r>
            <w:proofErr w:type="spellEnd"/>
            <w:r w:rsidR="002909D4">
              <w:t>, обеспечивающих коммуникационные потоки</w:t>
            </w:r>
            <w:r w:rsidR="000625F9" w:rsidRPr="000625F9">
              <w:t xml:space="preserve"> с сов</w:t>
            </w:r>
            <w:r w:rsidR="00F17DE5">
              <w:t>ременной российской молодежью: в</w:t>
            </w:r>
            <w:r w:rsidR="000625F9" w:rsidRPr="000625F9">
              <w:t xml:space="preserve">о-первых, </w:t>
            </w:r>
            <w:proofErr w:type="spellStart"/>
            <w:r w:rsidR="000625F9" w:rsidRPr="000625F9">
              <w:t>акторы</w:t>
            </w:r>
            <w:proofErr w:type="spellEnd"/>
            <w:r w:rsidR="000625F9" w:rsidRPr="000625F9">
              <w:t xml:space="preserve"> политической системы работаю</w:t>
            </w:r>
            <w:r w:rsidR="00555DF5">
              <w:t>т</w:t>
            </w:r>
            <w:r w:rsidR="002909D4">
              <w:t xml:space="preserve"> на гармонизацию</w:t>
            </w:r>
            <w:r w:rsidR="000625F9" w:rsidRPr="000625F9">
              <w:t xml:space="preserve"> диалога поколений в условиях современных </w:t>
            </w:r>
            <w:proofErr w:type="spellStart"/>
            <w:r w:rsidR="000625F9" w:rsidRPr="000625F9">
              <w:t>межпоколенч</w:t>
            </w:r>
            <w:r w:rsidR="00F17DE5">
              <w:t>еских</w:t>
            </w:r>
            <w:proofErr w:type="spellEnd"/>
            <w:r w:rsidR="00F17DE5">
              <w:t xml:space="preserve"> разрывов и противоречий; в</w:t>
            </w:r>
            <w:r w:rsidR="000625F9" w:rsidRPr="000625F9">
              <w:t xml:space="preserve">о-вторых, работа </w:t>
            </w:r>
            <w:proofErr w:type="spellStart"/>
            <w:r w:rsidR="000625F9" w:rsidRPr="000625F9">
              <w:t>акторов</w:t>
            </w:r>
            <w:proofErr w:type="spellEnd"/>
            <w:r w:rsidR="000625F9" w:rsidRPr="000625F9">
              <w:t xml:space="preserve"> политической системы связана с целенаправленным формированием у современной российской молодежи определенных ценностных ориентиров, социальных установок, моделей поведения. </w:t>
            </w:r>
            <w:r w:rsidR="002909D4">
              <w:rPr>
                <w:bCs w:val="0"/>
              </w:rPr>
              <w:t xml:space="preserve">Была определена </w:t>
            </w:r>
            <w:r w:rsidR="006D02A1">
              <w:rPr>
                <w:bCs w:val="0"/>
              </w:rPr>
              <w:t>м</w:t>
            </w:r>
            <w:r w:rsidR="006D02A1" w:rsidRPr="000625F9">
              <w:rPr>
                <w:bCs w:val="0"/>
              </w:rPr>
              <w:t>одель</w:t>
            </w:r>
            <w:r w:rsidR="006D02A1" w:rsidRPr="000625F9">
              <w:t xml:space="preserve"> </w:t>
            </w:r>
            <w:r w:rsidR="006D02A1" w:rsidRPr="000625F9">
              <w:rPr>
                <w:bCs w:val="0"/>
              </w:rPr>
              <w:t>диалога органов государственной власти с молодежью</w:t>
            </w:r>
            <w:r w:rsidR="006D02A1">
              <w:rPr>
                <w:bCs w:val="0"/>
              </w:rPr>
              <w:t xml:space="preserve">. </w:t>
            </w:r>
            <w:r w:rsidR="000625F9">
              <w:t>Среди разнообразных направлений молодежн</w:t>
            </w:r>
            <w:r w:rsidR="006D02A1">
              <w:t>ой политики использованы</w:t>
            </w:r>
            <w:r w:rsidR="000625F9">
              <w:t xml:space="preserve"> двенадцать групп проектов, представляющих четыре сферы общественной ж</w:t>
            </w:r>
            <w:r w:rsidR="00555DF5">
              <w:t>изни: социальную</w:t>
            </w:r>
            <w:r w:rsidR="000625F9">
              <w:t xml:space="preserve">, </w:t>
            </w:r>
            <w:r w:rsidR="00555DF5">
              <w:t>политическую, экономическую и</w:t>
            </w:r>
            <w:r w:rsidR="000625F9">
              <w:t xml:space="preserve"> культур</w:t>
            </w:r>
            <w:r w:rsidR="00555DF5">
              <w:t>н</w:t>
            </w:r>
            <w:r w:rsidR="000625F9">
              <w:t>у</w:t>
            </w:r>
            <w:r w:rsidR="00555DF5">
              <w:t>ю</w:t>
            </w:r>
            <w:r w:rsidR="000625F9">
              <w:t xml:space="preserve">. </w:t>
            </w:r>
            <w:r w:rsidR="00555DF5">
              <w:t xml:space="preserve">Основным критерием </w:t>
            </w:r>
            <w:r w:rsidR="000625F9" w:rsidRPr="000625F9">
              <w:t xml:space="preserve">отбора группы проектов в модель являлся приоритет </w:t>
            </w:r>
            <w:proofErr w:type="spellStart"/>
            <w:r w:rsidR="000625F9" w:rsidRPr="000625F9">
              <w:t>межпоколенческой</w:t>
            </w:r>
            <w:proofErr w:type="spellEnd"/>
            <w:r w:rsidR="000625F9" w:rsidRPr="000625F9">
              <w:t xml:space="preserve"> интеграции в процессе совместной деятельности. </w:t>
            </w:r>
            <w:r w:rsidR="004452A9">
              <w:t xml:space="preserve">Все предложенные в модели проекты обеспечивают взаимный обмен знаниями, умениями, навыками, ценностями между старшим, средним, молодым поколением и способствуют преодолению </w:t>
            </w:r>
            <w:proofErr w:type="spellStart"/>
            <w:r w:rsidR="004452A9">
              <w:t>межпоколенческих</w:t>
            </w:r>
            <w:proofErr w:type="spellEnd"/>
            <w:r w:rsidR="004452A9">
              <w:t xml:space="preserve"> разрывов в социальной сфере, экономике, политике, культуре. </w:t>
            </w:r>
          </w:p>
          <w:p w:rsidR="00CB6AEA" w:rsidRDefault="00CB6AEA" w:rsidP="003F340D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</w:p>
          <w:p w:rsidR="00530D1C" w:rsidRDefault="00530D1C" w:rsidP="00530D1C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  <w:r w:rsidRPr="00BD3F3E">
              <w:rPr>
                <w:rFonts w:eastAsia="Times New Roman"/>
                <w:i/>
                <w:iCs/>
                <w:color w:val="000000"/>
              </w:rPr>
              <w:t>Степень готовности к внедрению инновационного проекта</w:t>
            </w:r>
            <w:r>
              <w:rPr>
                <w:rFonts w:eastAsia="Times New Roman"/>
                <w:color w:val="000000"/>
              </w:rPr>
              <w:t xml:space="preserve">: </w:t>
            </w:r>
          </w:p>
          <w:p w:rsidR="00530D1C" w:rsidRDefault="00E42E70" w:rsidP="00530D1C">
            <w:pPr>
              <w:tabs>
                <w:tab w:val="right" w:leader="dot" w:pos="9355"/>
              </w:tabs>
              <w:spacing w:line="240" w:lineRule="auto"/>
              <w:ind w:firstLine="709"/>
              <w:rPr>
                <w:rFonts w:eastAsia="Times New Roman"/>
                <w:color w:val="000000"/>
              </w:rPr>
            </w:pPr>
            <w:r>
              <w:t>Секрет производства (н</w:t>
            </w:r>
            <w:r w:rsidR="006D02A1">
              <w:t>оу-хау</w:t>
            </w:r>
            <w:r>
              <w:t>)</w:t>
            </w:r>
            <w:r w:rsidR="006D02A1">
              <w:rPr>
                <w:b/>
              </w:rPr>
              <w:t xml:space="preserve"> </w:t>
            </w:r>
            <w:r w:rsidR="006D02A1">
              <w:t xml:space="preserve">«Модели оценки </w:t>
            </w:r>
            <w:proofErr w:type="spellStart"/>
            <w:r w:rsidR="006D02A1">
              <w:t>межпоколенческих</w:t>
            </w:r>
            <w:proofErr w:type="spellEnd"/>
            <w:r w:rsidR="006D02A1">
              <w:t xml:space="preserve"> коммуникаций и диалога органов государственной власти с молодежью» готово и </w:t>
            </w:r>
            <w:r w:rsidR="00530D1C">
              <w:rPr>
                <w:rFonts w:eastAsia="Times New Roman"/>
                <w:color w:val="000000"/>
              </w:rPr>
              <w:t xml:space="preserve">может использоваться для </w:t>
            </w:r>
            <w:r w:rsidR="002F74FA">
              <w:rPr>
                <w:rFonts w:eastAsia="Times New Roman"/>
                <w:color w:val="000000"/>
              </w:rPr>
              <w:t>проведения социально-политических</w:t>
            </w:r>
            <w:r w:rsidR="00D35699">
              <w:rPr>
                <w:rFonts w:eastAsia="Times New Roman"/>
                <w:color w:val="000000"/>
              </w:rPr>
              <w:t xml:space="preserve"> исследований по теме, а также </w:t>
            </w:r>
            <w:r w:rsidR="00530D1C">
              <w:rPr>
                <w:rFonts w:eastAsia="Times New Roman"/>
                <w:color w:val="000000"/>
              </w:rPr>
              <w:t xml:space="preserve">поиска наиболее эффективной </w:t>
            </w:r>
            <w:r w:rsidR="00D35699">
              <w:rPr>
                <w:rFonts w:eastAsia="Times New Roman"/>
                <w:color w:val="000000"/>
              </w:rPr>
              <w:t xml:space="preserve">формы </w:t>
            </w:r>
            <w:proofErr w:type="spellStart"/>
            <w:r w:rsidR="00D35699">
              <w:rPr>
                <w:rFonts w:eastAsia="Times New Roman"/>
                <w:color w:val="000000"/>
              </w:rPr>
              <w:t>межпоколенческого</w:t>
            </w:r>
            <w:proofErr w:type="spellEnd"/>
            <w:r w:rsidR="00D35699">
              <w:rPr>
                <w:rFonts w:eastAsia="Times New Roman"/>
                <w:color w:val="000000"/>
              </w:rPr>
              <w:t xml:space="preserve"> сотрудничества и выстраивания молодежной политики государства.</w:t>
            </w:r>
            <w:r w:rsidR="002F74FA">
              <w:rPr>
                <w:rFonts w:eastAsia="Times New Roman"/>
                <w:color w:val="000000"/>
              </w:rPr>
              <w:t xml:space="preserve"> Разработка моделей стала</w:t>
            </w:r>
            <w:r w:rsidR="00530D1C">
              <w:rPr>
                <w:rFonts w:eastAsia="Times New Roman"/>
                <w:color w:val="000000"/>
              </w:rPr>
              <w:t xml:space="preserve"> апробацией инструментария, с тем, чтобы использовать его в дальнейшем.</w:t>
            </w:r>
          </w:p>
          <w:p w:rsidR="00530D1C" w:rsidRDefault="00530D1C" w:rsidP="00530D1C">
            <w:pPr>
              <w:spacing w:line="240" w:lineRule="auto"/>
              <w:ind w:firstLine="708"/>
              <w:rPr>
                <w:rFonts w:eastAsia="Times New Roman"/>
                <w:color w:val="000000"/>
              </w:rPr>
            </w:pPr>
          </w:p>
          <w:p w:rsidR="00530D1C" w:rsidRDefault="00530D1C" w:rsidP="00530D1C">
            <w:pPr>
              <w:spacing w:line="240" w:lineRule="auto"/>
              <w:ind w:firstLine="708"/>
              <w:rPr>
                <w:rFonts w:eastAsia="Times New Roman"/>
                <w:i/>
                <w:iCs/>
              </w:rPr>
            </w:pPr>
          </w:p>
          <w:p w:rsidR="00530D1C" w:rsidRDefault="00530D1C" w:rsidP="00E3054A">
            <w:pPr>
              <w:spacing w:line="240" w:lineRule="auto"/>
              <w:ind w:firstLine="708"/>
              <w:rPr>
                <w:rFonts w:eastAsia="Times New Roman"/>
                <w:color w:val="000000"/>
              </w:rPr>
            </w:pPr>
            <w:r w:rsidRPr="005D057D">
              <w:rPr>
                <w:rFonts w:eastAsia="Times New Roman"/>
                <w:i/>
                <w:iCs/>
              </w:rPr>
              <w:t>Новизна технологии, отличие от аналогов</w:t>
            </w:r>
            <w:r w:rsidRPr="005D057D">
              <w:rPr>
                <w:rFonts w:eastAsia="Times New Roman"/>
              </w:rPr>
              <w:t xml:space="preserve">: </w:t>
            </w:r>
          </w:p>
          <w:p w:rsidR="00530D1C" w:rsidRDefault="002F74FA" w:rsidP="00530D1C">
            <w:pPr>
              <w:spacing w:line="240" w:lineRule="auto"/>
              <w:ind w:firstLine="709"/>
            </w:pPr>
            <w:r>
              <w:t xml:space="preserve">Была составлены оригинальные модели микро и макроуровня для определения вида </w:t>
            </w:r>
            <w:proofErr w:type="spellStart"/>
            <w:r>
              <w:t>межпоколенческой</w:t>
            </w:r>
            <w:proofErr w:type="spellEnd"/>
            <w:r>
              <w:t xml:space="preserve"> коммуникации и обмена ресурсами.</w:t>
            </w:r>
            <w:r w:rsidR="00E5539A">
              <w:t xml:space="preserve"> Кроме того, </w:t>
            </w:r>
            <w:r w:rsidR="00E5539A">
              <w:rPr>
                <w:bCs w:val="0"/>
              </w:rPr>
              <w:t>разработана м</w:t>
            </w:r>
            <w:r w:rsidR="00E5539A" w:rsidRPr="000625F9">
              <w:rPr>
                <w:bCs w:val="0"/>
              </w:rPr>
              <w:t>одель</w:t>
            </w:r>
            <w:r w:rsidR="00E5539A" w:rsidRPr="000625F9">
              <w:t xml:space="preserve"> </w:t>
            </w:r>
            <w:r w:rsidR="00E5539A" w:rsidRPr="000625F9">
              <w:rPr>
                <w:bCs w:val="0"/>
              </w:rPr>
              <w:t>диалога органов государственной власти с молодежью</w:t>
            </w:r>
            <w:r w:rsidR="00E5539A">
              <w:rPr>
                <w:bCs w:val="0"/>
              </w:rPr>
              <w:t>, включающая двенадцать типов проектов в четырех сферах общественной жизни.</w:t>
            </w:r>
          </w:p>
          <w:p w:rsidR="00530D1C" w:rsidRDefault="00530D1C" w:rsidP="00530D1C">
            <w:pPr>
              <w:spacing w:line="240" w:lineRule="auto"/>
              <w:ind w:firstLine="708"/>
              <w:rPr>
                <w:rFonts w:eastAsia="Times New Roman"/>
                <w:color w:val="000000"/>
              </w:rPr>
            </w:pPr>
          </w:p>
          <w:p w:rsidR="00530D1C" w:rsidRDefault="00530D1C" w:rsidP="00530D1C">
            <w:pPr>
              <w:spacing w:line="240" w:lineRule="auto"/>
              <w:ind w:firstLine="708"/>
            </w:pPr>
            <w:r w:rsidRPr="00E46E38">
              <w:rPr>
                <w:rFonts w:eastAsia="Times New Roman"/>
                <w:i/>
                <w:iCs/>
                <w:color w:val="000000"/>
              </w:rPr>
              <w:t>Технологические преимущества (технические или другие потребительские свойства)</w:t>
            </w:r>
            <w:r>
              <w:rPr>
                <w:rFonts w:eastAsia="Times New Roman"/>
                <w:color w:val="000000"/>
              </w:rPr>
              <w:t xml:space="preserve">: </w:t>
            </w:r>
          </w:p>
          <w:p w:rsidR="00530D1C" w:rsidRPr="00E5539A" w:rsidRDefault="00E3054A" w:rsidP="002B639E">
            <w:pPr>
              <w:tabs>
                <w:tab w:val="left" w:pos="2250"/>
              </w:tabs>
              <w:spacing w:line="240" w:lineRule="auto"/>
              <w:ind w:firstLine="7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Сформированы </w:t>
            </w:r>
            <w:proofErr w:type="spellStart"/>
            <w:r>
              <w:rPr>
                <w:rFonts w:eastAsia="Times New Roman"/>
                <w:color w:val="000000"/>
              </w:rPr>
              <w:t>многоакторные</w:t>
            </w:r>
            <w:proofErr w:type="spellEnd"/>
            <w:r>
              <w:rPr>
                <w:rFonts w:eastAsia="Times New Roman"/>
                <w:color w:val="000000"/>
              </w:rPr>
              <w:t xml:space="preserve"> двухуровневые модели</w:t>
            </w:r>
            <w:r w:rsidR="00E5539A" w:rsidRPr="00E553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5539A" w:rsidRPr="00E5539A">
              <w:t>межпоколенческой</w:t>
            </w:r>
            <w:proofErr w:type="spellEnd"/>
            <w:r w:rsidR="00E5539A" w:rsidRPr="00E5539A">
              <w:t xml:space="preserve"> коммуникации и обмена ресурсами</w:t>
            </w:r>
            <w:r>
              <w:t>,</w:t>
            </w:r>
            <w:r w:rsidR="00E5539A" w:rsidRPr="00E5539A">
              <w:t xml:space="preserve"> основан</w:t>
            </w:r>
            <w:r>
              <w:t>н</w:t>
            </w:r>
            <w:r w:rsidR="00E5539A" w:rsidRPr="00E5539A">
              <w:t>ы</w:t>
            </w:r>
            <w:r>
              <w:t>е</w:t>
            </w:r>
            <w:r w:rsidR="00E5539A" w:rsidRPr="00E5539A">
              <w:t xml:space="preserve"> на математических расчетах.</w:t>
            </w:r>
            <w:r w:rsidR="00E5539A" w:rsidRPr="00E5539A">
              <w:rPr>
                <w:rFonts w:eastAsia="Times New Roman"/>
                <w:color w:val="000000"/>
              </w:rPr>
              <w:t xml:space="preserve"> </w:t>
            </w:r>
            <w:r w:rsidR="007871BC">
              <w:rPr>
                <w:rFonts w:eastAsia="Times New Roman"/>
                <w:color w:val="000000"/>
              </w:rPr>
              <w:t xml:space="preserve">Модели дают возможность выявить ресурсный дисбаланс и определить пути его компенсации. </w:t>
            </w:r>
            <w:r w:rsidR="002B639E">
              <w:rPr>
                <w:bCs w:val="0"/>
              </w:rPr>
              <w:t>М</w:t>
            </w:r>
            <w:r w:rsidR="002B639E" w:rsidRPr="000625F9">
              <w:rPr>
                <w:bCs w:val="0"/>
              </w:rPr>
              <w:t>одель</w:t>
            </w:r>
            <w:r w:rsidR="002B639E" w:rsidRPr="000625F9">
              <w:t xml:space="preserve"> </w:t>
            </w:r>
            <w:r w:rsidR="002B639E" w:rsidRPr="000625F9">
              <w:rPr>
                <w:bCs w:val="0"/>
              </w:rPr>
              <w:t>диалога органов государственной власти с молодежью</w:t>
            </w:r>
            <w:r w:rsidR="002B639E" w:rsidRPr="00E5539A">
              <w:rPr>
                <w:bCs w:val="0"/>
              </w:rPr>
              <w:t xml:space="preserve"> </w:t>
            </w:r>
            <w:r w:rsidR="002B639E">
              <w:rPr>
                <w:bCs w:val="0"/>
              </w:rPr>
              <w:t>стала основой для создания дорожной карты</w:t>
            </w:r>
            <w:r w:rsidR="00E5539A" w:rsidRPr="00E5539A">
              <w:rPr>
                <w:bCs w:val="0"/>
              </w:rPr>
              <w:t xml:space="preserve"> мероприятий по преодолению </w:t>
            </w:r>
            <w:proofErr w:type="spellStart"/>
            <w:r w:rsidR="00E5539A" w:rsidRPr="00E5539A">
              <w:rPr>
                <w:bCs w:val="0"/>
              </w:rPr>
              <w:t>межпоколенческих</w:t>
            </w:r>
            <w:proofErr w:type="spellEnd"/>
            <w:r w:rsidR="00E5539A" w:rsidRPr="00E5539A">
              <w:rPr>
                <w:bCs w:val="0"/>
              </w:rPr>
              <w:t xml:space="preserve"> разрывов</w:t>
            </w:r>
            <w:r w:rsidR="002B639E">
              <w:rPr>
                <w:bCs w:val="0"/>
              </w:rPr>
              <w:t>.</w:t>
            </w:r>
          </w:p>
          <w:p w:rsidR="00E5539A" w:rsidRPr="00E46E38" w:rsidRDefault="00E5539A" w:rsidP="00E5539A">
            <w:pPr>
              <w:tabs>
                <w:tab w:val="right" w:leader="dot" w:pos="9355"/>
              </w:tabs>
              <w:spacing w:line="240" w:lineRule="auto"/>
              <w:ind w:firstLine="709"/>
            </w:pPr>
          </w:p>
          <w:p w:rsidR="00530D1C" w:rsidRDefault="00530D1C" w:rsidP="00530D1C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  <w:r w:rsidRPr="00E46E38">
              <w:rPr>
                <w:rFonts w:eastAsia="Times New Roman"/>
                <w:i/>
                <w:iCs/>
                <w:color w:val="000000"/>
              </w:rPr>
              <w:t>Экономические преимущества</w:t>
            </w:r>
            <w:r>
              <w:rPr>
                <w:rFonts w:eastAsia="Times New Roman"/>
                <w:color w:val="000000"/>
              </w:rPr>
              <w:t xml:space="preserve">: </w:t>
            </w:r>
          </w:p>
          <w:p w:rsidR="00530D1C" w:rsidRDefault="002B639E" w:rsidP="00530D1C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Разработанное ноу-хау</w:t>
            </w:r>
            <w:r w:rsidR="00530D1C">
              <w:rPr>
                <w:rFonts w:eastAsia="Times New Roman"/>
                <w:color w:val="000000"/>
              </w:rPr>
              <w:t xml:space="preserve"> позволит </w:t>
            </w:r>
            <w:r w:rsidR="00530D1C" w:rsidRPr="00D55F24">
              <w:rPr>
                <w:rFonts w:eastAsia="Times New Roman"/>
                <w:color w:val="000000"/>
              </w:rPr>
              <w:t xml:space="preserve">сократить время, необходимое для анализа </w:t>
            </w:r>
            <w:r>
              <w:rPr>
                <w:rFonts w:eastAsia="Times New Roman"/>
                <w:color w:val="000000"/>
              </w:rPr>
              <w:t xml:space="preserve">источников и причин </w:t>
            </w:r>
            <w:proofErr w:type="spellStart"/>
            <w:r>
              <w:rPr>
                <w:rFonts w:eastAsia="Times New Roman"/>
                <w:color w:val="000000"/>
              </w:rPr>
              <w:t>межпоколенческих</w:t>
            </w:r>
            <w:proofErr w:type="spellEnd"/>
            <w:r>
              <w:rPr>
                <w:rFonts w:eastAsia="Times New Roman"/>
                <w:color w:val="000000"/>
              </w:rPr>
              <w:t xml:space="preserve"> разрывов</w:t>
            </w:r>
            <w:r w:rsidR="00530D1C">
              <w:rPr>
                <w:rFonts w:eastAsia="Times New Roman"/>
                <w:color w:val="000000"/>
              </w:rPr>
              <w:t xml:space="preserve"> и пр</w:t>
            </w:r>
            <w:r>
              <w:rPr>
                <w:rFonts w:eastAsia="Times New Roman"/>
                <w:color w:val="000000"/>
              </w:rPr>
              <w:t>отиворечий</w:t>
            </w:r>
            <w:r w:rsidR="00530D1C">
              <w:rPr>
                <w:rFonts w:eastAsia="Times New Roman"/>
                <w:color w:val="000000"/>
              </w:rPr>
              <w:t xml:space="preserve">, тем самым помогает снизить издержки на работу аналитиков, </w:t>
            </w:r>
            <w:r>
              <w:rPr>
                <w:rFonts w:eastAsia="Times New Roman"/>
                <w:color w:val="000000"/>
              </w:rPr>
              <w:t>представителей органов государственной власти и местного самоуправления</w:t>
            </w:r>
            <w:r w:rsidR="00530D1C">
              <w:rPr>
                <w:rFonts w:eastAsia="Times New Roman"/>
                <w:color w:val="000000"/>
              </w:rPr>
              <w:t xml:space="preserve"> и других заинтересованных структур.</w:t>
            </w:r>
          </w:p>
          <w:p w:rsidR="00530D1C" w:rsidRDefault="00530D1C" w:rsidP="00530D1C">
            <w:pPr>
              <w:spacing w:line="240" w:lineRule="auto"/>
              <w:ind w:firstLine="709"/>
              <w:rPr>
                <w:rFonts w:eastAsia="Times New Roman"/>
                <w:i/>
                <w:iCs/>
                <w:color w:val="000000"/>
              </w:rPr>
            </w:pPr>
          </w:p>
          <w:p w:rsidR="00530D1C" w:rsidRDefault="00530D1C" w:rsidP="00E5539A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  <w:r w:rsidRPr="00E46E38">
              <w:rPr>
                <w:rFonts w:eastAsia="Times New Roman"/>
                <w:i/>
                <w:iCs/>
                <w:color w:val="000000"/>
              </w:rPr>
              <w:t>Область возможного использования</w:t>
            </w:r>
            <w:r w:rsidR="00E3054A">
              <w:rPr>
                <w:rFonts w:eastAsia="Times New Roman"/>
                <w:i/>
                <w:iCs/>
                <w:color w:val="000000"/>
              </w:rPr>
              <w:t>:</w:t>
            </w:r>
          </w:p>
          <w:p w:rsidR="00530D1C" w:rsidRDefault="00812257" w:rsidP="002B639E">
            <w:pPr>
              <w:spacing w:line="240" w:lineRule="auto"/>
              <w:ind w:firstLine="709"/>
            </w:pPr>
            <w:r>
              <w:t xml:space="preserve">Полученное ноу-хау «Модели оценки </w:t>
            </w:r>
            <w:proofErr w:type="spellStart"/>
            <w:r>
              <w:t>межпоколенческих</w:t>
            </w:r>
            <w:proofErr w:type="spellEnd"/>
            <w:r>
              <w:t xml:space="preserve"> коммуникаций и диалога органов государственной власти с молодежью» </w:t>
            </w:r>
            <w:r w:rsidR="00530D1C">
              <w:t>может быть испо</w:t>
            </w:r>
            <w:r>
              <w:t>льзовано для определения основных направлений молодежной и социальной политики</w:t>
            </w:r>
            <w:r w:rsidR="00530D1C">
              <w:t>.</w:t>
            </w:r>
          </w:p>
          <w:p w:rsidR="00555DF5" w:rsidRDefault="00477CF1" w:rsidP="00B84095">
            <w:pPr>
              <w:spacing w:line="240" w:lineRule="auto"/>
              <w:ind w:firstLine="709"/>
            </w:pPr>
            <w:r>
              <w:t>Представляет собой интерес для ВУЗов и научно-исследовательских центров, изуч</w:t>
            </w:r>
            <w:r w:rsidR="00FF3FCB">
              <w:t xml:space="preserve">ающих проблемы </w:t>
            </w:r>
            <w:proofErr w:type="spellStart"/>
            <w:r w:rsidR="00FF3FCB">
              <w:t>межпоколе</w:t>
            </w:r>
            <w:r w:rsidR="00555DF5">
              <w:t>нческих</w:t>
            </w:r>
            <w:proofErr w:type="spellEnd"/>
            <w:r w:rsidR="00555DF5">
              <w:t xml:space="preserve"> разрывов и противоречий;</w:t>
            </w:r>
            <w:r w:rsidR="00FF3FCB">
              <w:t xml:space="preserve"> а также о</w:t>
            </w:r>
            <w:r w:rsidR="00530D1C">
              <w:t>рга</w:t>
            </w:r>
            <w:r w:rsidR="00FF3FCB">
              <w:t>нов государственной власти, занимающихся выработкой стратеги</w:t>
            </w:r>
            <w:r w:rsidR="00B84095">
              <w:t xml:space="preserve">и в области молодежной политики; </w:t>
            </w:r>
            <w:r w:rsidR="00555DF5">
              <w:t>для НКО, которые обеспечивают</w:t>
            </w:r>
            <w:r w:rsidR="00B84095">
              <w:t xml:space="preserve"> </w:t>
            </w:r>
            <w:r w:rsidR="00555DF5">
              <w:t>коммуникацию</w:t>
            </w:r>
            <w:r w:rsidR="00555DF5" w:rsidRPr="005661A6">
              <w:t xml:space="preserve"> с с</w:t>
            </w:r>
            <w:r w:rsidR="00555DF5">
              <w:t>овременной российской молодежью.</w:t>
            </w:r>
          </w:p>
          <w:p w:rsidR="00530D1C" w:rsidRDefault="00A524B1" w:rsidP="00555DF5">
            <w:pPr>
              <w:spacing w:line="240" w:lineRule="auto"/>
              <w:ind w:firstLine="709"/>
            </w:pPr>
            <w:r w:rsidRPr="005661A6">
              <w:rPr>
                <w:color w:val="000000"/>
              </w:rPr>
              <w:t xml:space="preserve">Разработанные модели оценки </w:t>
            </w:r>
            <w:proofErr w:type="spellStart"/>
            <w:r w:rsidRPr="005661A6">
              <w:t>межпоколенческих</w:t>
            </w:r>
            <w:proofErr w:type="spellEnd"/>
            <w:r w:rsidRPr="005661A6">
              <w:t xml:space="preserve"> коммуникаций и диалога органов государственной власти с молодежью могут использоваться при обучении студентов </w:t>
            </w:r>
            <w:r>
              <w:t>направлений</w:t>
            </w:r>
            <w:r w:rsidRPr="005661A6">
              <w:t xml:space="preserve"> подготовки: 41.03.04 - Политология и 39.03.01 – Социология в рамках таких дисциплин, как «Современная российская политика», «Политическая социология», «Основы государственного устройства и принятия политических решений», «Противодействие технологиям дестабилизации политических режимов», «Принятие политических решений».</w:t>
            </w:r>
          </w:p>
          <w:p w:rsidR="00A524B1" w:rsidRDefault="00A524B1" w:rsidP="00555DF5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</w:p>
          <w:p w:rsidR="00530D1C" w:rsidRDefault="00530D1C" w:rsidP="00530D1C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  <w:r w:rsidRPr="00E46E38">
              <w:rPr>
                <w:rFonts w:eastAsia="Times New Roman"/>
                <w:i/>
                <w:iCs/>
                <w:color w:val="000000"/>
              </w:rPr>
              <w:t>Сопутствующие полезные эффекты</w:t>
            </w:r>
            <w:r>
              <w:rPr>
                <w:rFonts w:eastAsia="Times New Roman"/>
                <w:color w:val="000000"/>
              </w:rPr>
              <w:t xml:space="preserve">: </w:t>
            </w:r>
          </w:p>
          <w:p w:rsidR="00B054ED" w:rsidRDefault="00530D1C" w:rsidP="00530D1C">
            <w:pPr>
              <w:spacing w:line="240" w:lineRule="auto"/>
              <w:ind w:firstLine="7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Увеличение скорости проведения анализа </w:t>
            </w:r>
            <w:r w:rsidR="00FF3FCB">
              <w:rPr>
                <w:rFonts w:eastAsia="Times New Roman"/>
                <w:color w:val="000000"/>
              </w:rPr>
              <w:t xml:space="preserve">источников, направлений и последствий </w:t>
            </w:r>
            <w:proofErr w:type="spellStart"/>
            <w:r w:rsidR="00FF3FCB">
              <w:rPr>
                <w:rFonts w:eastAsia="Times New Roman"/>
                <w:color w:val="000000"/>
              </w:rPr>
              <w:t>межпоколенческих</w:t>
            </w:r>
            <w:proofErr w:type="spellEnd"/>
            <w:r w:rsidR="00FF3FCB">
              <w:rPr>
                <w:rFonts w:eastAsia="Times New Roman"/>
                <w:color w:val="000000"/>
              </w:rPr>
              <w:t xml:space="preserve"> разрывов и противоречий </w:t>
            </w:r>
            <w:r>
              <w:rPr>
                <w:rFonts w:eastAsia="Times New Roman"/>
                <w:color w:val="000000"/>
              </w:rPr>
              <w:t>позволит в кратчайшие сроки сформировать конструктивную повестку в области</w:t>
            </w:r>
            <w:r w:rsidR="00B054ED">
              <w:rPr>
                <w:rFonts w:eastAsia="Times New Roman"/>
                <w:color w:val="000000"/>
              </w:rPr>
              <w:t xml:space="preserve"> государственной молодежной и образовательной</w:t>
            </w:r>
            <w:r>
              <w:rPr>
                <w:rFonts w:eastAsia="Times New Roman"/>
                <w:color w:val="000000"/>
              </w:rPr>
              <w:t xml:space="preserve"> политики</w:t>
            </w:r>
            <w:r w:rsidR="00B054ED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A46E61" w:rsidRDefault="00530D1C" w:rsidP="00555DF5">
            <w:pPr>
              <w:spacing w:line="240" w:lineRule="auto"/>
              <w:ind w:firstLine="709"/>
              <w:rPr>
                <w:lang w:eastAsia="en-US"/>
              </w:rPr>
            </w:pPr>
            <w:r>
              <w:t>Однако, несомненно, необходим систематический монит</w:t>
            </w:r>
            <w:r w:rsidR="00B054ED">
              <w:t xml:space="preserve">оринг и оценка состояния </w:t>
            </w:r>
            <w:proofErr w:type="spellStart"/>
            <w:r w:rsidR="00B054ED">
              <w:t>межпоколенческой</w:t>
            </w:r>
            <w:proofErr w:type="spellEnd"/>
            <w:r w:rsidR="00B054ED">
              <w:t xml:space="preserve"> коммуникации, которые в том числе, могут</w:t>
            </w:r>
            <w:r>
              <w:t xml:space="preserve"> осуществляться посредством</w:t>
            </w:r>
            <w:r w:rsidR="00555DF5">
              <w:t xml:space="preserve"> разработанного инструментария.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46E61" w:rsidRDefault="00A46E61">
            <w:pPr>
              <w:spacing w:line="240" w:lineRule="auto"/>
              <w:jc w:val="left"/>
              <w:rPr>
                <w:lang w:eastAsia="en-US"/>
              </w:rPr>
            </w:pPr>
          </w:p>
          <w:p w:rsidR="00A46E61" w:rsidRDefault="00A46E61">
            <w:pPr>
              <w:spacing w:line="276" w:lineRule="auto"/>
              <w:rPr>
                <w:lang w:eastAsia="en-US"/>
              </w:rPr>
            </w:pPr>
          </w:p>
        </w:tc>
      </w:tr>
    </w:tbl>
    <w:p w:rsidR="00A46E61" w:rsidRDefault="00A46E61" w:rsidP="00A46E61">
      <w:pPr>
        <w:spacing w:line="276" w:lineRule="auto"/>
      </w:pPr>
    </w:p>
    <w:p w:rsidR="00A46E61" w:rsidRDefault="00A46E61" w:rsidP="00A46E61">
      <w:pPr>
        <w:spacing w:line="276" w:lineRule="auto"/>
      </w:pPr>
    </w:p>
    <w:p w:rsidR="009E5606" w:rsidRDefault="009E5606"/>
    <w:sectPr w:rsidR="009E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2EF"/>
    <w:multiLevelType w:val="hybridMultilevel"/>
    <w:tmpl w:val="3A38C06A"/>
    <w:lvl w:ilvl="0" w:tplc="635645E8">
      <w:start w:val="1"/>
      <w:numFmt w:val="decimal"/>
      <w:lvlText w:val="%1."/>
      <w:lvlJc w:val="left"/>
      <w:pPr>
        <w:ind w:left="1354" w:hanging="6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2"/>
    <w:rsid w:val="000453E1"/>
    <w:rsid w:val="000625F9"/>
    <w:rsid w:val="000E02B8"/>
    <w:rsid w:val="0011293A"/>
    <w:rsid w:val="00130BD3"/>
    <w:rsid w:val="00271354"/>
    <w:rsid w:val="002909D4"/>
    <w:rsid w:val="002B639E"/>
    <w:rsid w:val="002D24E6"/>
    <w:rsid w:val="002F74FA"/>
    <w:rsid w:val="003D23B9"/>
    <w:rsid w:val="003F340D"/>
    <w:rsid w:val="004452A9"/>
    <w:rsid w:val="00460D92"/>
    <w:rsid w:val="00477CF1"/>
    <w:rsid w:val="0048301D"/>
    <w:rsid w:val="00530D1C"/>
    <w:rsid w:val="00555DF5"/>
    <w:rsid w:val="005C7D20"/>
    <w:rsid w:val="00614E7A"/>
    <w:rsid w:val="006B2776"/>
    <w:rsid w:val="006B7D3D"/>
    <w:rsid w:val="006D02A1"/>
    <w:rsid w:val="006E7646"/>
    <w:rsid w:val="00754A91"/>
    <w:rsid w:val="007871BC"/>
    <w:rsid w:val="00790DBE"/>
    <w:rsid w:val="007F38C3"/>
    <w:rsid w:val="00812257"/>
    <w:rsid w:val="00837581"/>
    <w:rsid w:val="00967ED1"/>
    <w:rsid w:val="009E5606"/>
    <w:rsid w:val="00A46E61"/>
    <w:rsid w:val="00A524B1"/>
    <w:rsid w:val="00A7493F"/>
    <w:rsid w:val="00AC3513"/>
    <w:rsid w:val="00B054ED"/>
    <w:rsid w:val="00B84095"/>
    <w:rsid w:val="00C146E2"/>
    <w:rsid w:val="00C448FE"/>
    <w:rsid w:val="00CB6AEA"/>
    <w:rsid w:val="00D35699"/>
    <w:rsid w:val="00D53781"/>
    <w:rsid w:val="00D802F8"/>
    <w:rsid w:val="00D83659"/>
    <w:rsid w:val="00DF5C5A"/>
    <w:rsid w:val="00E14844"/>
    <w:rsid w:val="00E3054A"/>
    <w:rsid w:val="00E42E70"/>
    <w:rsid w:val="00E5539A"/>
    <w:rsid w:val="00E56E4F"/>
    <w:rsid w:val="00EA324C"/>
    <w:rsid w:val="00F17DE5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A7E7-FF45-4BE8-AA29-EE61DA4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61"/>
    <w:pPr>
      <w:spacing w:after="0" w:line="360" w:lineRule="auto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E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E61"/>
    <w:pPr>
      <w:spacing w:after="160" w:line="254" w:lineRule="auto"/>
      <w:ind w:left="720"/>
      <w:contextualSpacing/>
      <w:jc w:val="left"/>
    </w:pPr>
    <w:rPr>
      <w:rFonts w:ascii="Calibri" w:hAnsi="Calibri"/>
      <w:bCs w:val="0"/>
      <w:sz w:val="22"/>
      <w:szCs w:val="22"/>
      <w:lang w:eastAsia="en-US"/>
    </w:rPr>
  </w:style>
  <w:style w:type="table" w:styleId="a5">
    <w:name w:val="Table Grid"/>
    <w:basedOn w:val="a1"/>
    <w:uiPriority w:val="39"/>
    <w:rsid w:val="00A46E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A46E61"/>
    <w:pPr>
      <w:spacing w:line="240" w:lineRule="auto"/>
      <w:jc w:val="left"/>
    </w:pPr>
    <w:rPr>
      <w:rFonts w:ascii="Calibri" w:eastAsiaTheme="minorHAns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rastorguev@fa.ru%2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atilov@f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mailto:rvparm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42D88-3387-4EFC-9262-08701AD9B694}"/>
</file>

<file path=customXml/itemProps2.xml><?xml version="1.0" encoding="utf-8"?>
<ds:datastoreItem xmlns:ds="http://schemas.openxmlformats.org/officeDocument/2006/customXml" ds:itemID="{5FFD604E-1911-4BF3-A66D-3F78B41E4625}"/>
</file>

<file path=customXml/itemProps3.xml><?xml version="1.0" encoding="utf-8"?>
<ds:datastoreItem xmlns:ds="http://schemas.openxmlformats.org/officeDocument/2006/customXml" ds:itemID="{C9999B33-9A59-429A-9182-F5C8DC709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Модели оценки межпоколенческих коммуникаций  и диалога органов государственной власти  с молодежью (рекламно-техническое описание)</dc:title>
  <dc:subject/>
  <dc:creator>Anna</dc:creator>
  <cp:keywords/>
  <dc:description/>
  <cp:lastModifiedBy>Белгородцев Виктор Петрович</cp:lastModifiedBy>
  <cp:revision>2</cp:revision>
  <dcterms:created xsi:type="dcterms:W3CDTF">2021-10-20T06:32:00Z</dcterms:created>
  <dcterms:modified xsi:type="dcterms:W3CDTF">2021-10-20T06:32:00Z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