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BE1436" w:rsidP="00E06488">
      <w:pPr>
        <w:spacing w:line="276" w:lineRule="auto"/>
        <w:jc w:val="center"/>
      </w:pPr>
      <w:r>
        <w:t>в виде секрета производства (ноу-хау)</w:t>
      </w:r>
    </w:p>
    <w:p w:rsidR="008652E9" w:rsidRPr="008652E9" w:rsidRDefault="008652E9" w:rsidP="008652E9">
      <w:pPr>
        <w:spacing w:line="240" w:lineRule="auto"/>
        <w:jc w:val="center"/>
        <w:rPr>
          <w:b/>
        </w:rPr>
      </w:pPr>
      <w:r w:rsidRPr="008652E9">
        <w:rPr>
          <w:b/>
        </w:rPr>
        <w:t xml:space="preserve">МЕТОДИКИ ОЦЕНКИ ВЛИЯНИЯ ИНСТРУМЕНТОВ ИДЕНТИФИКАЦИИ ПОЛЬЗОВАТЕЛЕЙ НА ПАРАМЕТРЫ ДОСТУПНОСТИ ПЛАТЕЖНЫХ УСЛУГ </w:t>
      </w:r>
    </w:p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Pr="00042A4C" w:rsidRDefault="008652E9" w:rsidP="0080406C">
      <w:pPr>
        <w:spacing w:line="276" w:lineRule="auto"/>
        <w:jc w:val="center"/>
      </w:pPr>
      <w:r w:rsidRPr="0069498F">
        <w:t>ПОВЫШЕНИЕ ДОСТУПНОСТИ ПЛАТЕЖНЫХ УСЛУГ РОССИЙСКИХ СИСТЕМ ПЕРЕВОДА ДЕНЕЖНЫХ СРЕДСТВ ЗА СЧЕТ РАЗВИТИЯ СИСТЕМ ИДЕНТИФИКАЦИИ ПОЛЬЗОВАТЕЛЕЙ</w:t>
      </w:r>
      <w:r w:rsidR="00042A4C">
        <w:t>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88520A" w:rsidRDefault="0088520A" w:rsidP="00E06488">
      <w:pPr>
        <w:spacing w:line="276" w:lineRule="auto"/>
        <w:jc w:val="center"/>
      </w:pPr>
    </w:p>
    <w:p w:rsidR="00CF795B" w:rsidRDefault="00CF795B" w:rsidP="00E06488">
      <w:pPr>
        <w:spacing w:line="276" w:lineRule="auto"/>
        <w:jc w:val="center"/>
      </w:pPr>
      <w:r>
        <w:t>Сведения об авторах:</w:t>
      </w:r>
    </w:p>
    <w:p w:rsidR="00E06488" w:rsidRDefault="00E06488" w:rsidP="0080406C">
      <w:pPr>
        <w:spacing w:line="276" w:lineRule="auto"/>
        <w:jc w:val="center"/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266"/>
      </w:tblGrid>
      <w:tr w:rsidR="00BE3818" w:rsidTr="00BE3818">
        <w:tc>
          <w:tcPr>
            <w:tcW w:w="3256" w:type="dxa"/>
          </w:tcPr>
          <w:p w:rsidR="00BE3818" w:rsidRDefault="00BE3818" w:rsidP="0080406C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5128177" wp14:editId="51FD828E">
                  <wp:extent cx="1612900" cy="2012950"/>
                  <wp:effectExtent l="0" t="0" r="6350" b="6350"/>
                  <wp:docPr id="1" name="Рисунок 1" descr="C:\Users\Светлана\AppData\Local\Microsoft\Windows\INetCache\Content.Word\Криворучко СВ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AppData\Local\Microsoft\Windows\INetCache\Content.Word\Криворучко СВ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852" cy="202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E3818" w:rsidRDefault="00BE3818" w:rsidP="0080406C">
            <w:pPr>
              <w:spacing w:line="276" w:lineRule="auto"/>
              <w:jc w:val="center"/>
            </w:pPr>
            <w:r w:rsidRPr="00CE4B5E">
              <w:rPr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D893E34" wp14:editId="05240F89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803400" cy="2006600"/>
                  <wp:effectExtent l="0" t="0" r="6350" b="0"/>
                  <wp:wrapSquare wrapText="bothSides"/>
                  <wp:docPr id="5" name="Рисунок 5" descr="F:\Valery_account\Изображения\Фото_разные\AB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Valery_account\Изображения\Фото_разные\AB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6" w:type="dxa"/>
          </w:tcPr>
          <w:p w:rsidR="00BE3818" w:rsidRDefault="00BE3818" w:rsidP="0080406C">
            <w:pPr>
              <w:spacing w:line="276" w:lineRule="auto"/>
              <w:jc w:val="center"/>
            </w:pPr>
            <w:r w:rsidRPr="00744491">
              <w:rPr>
                <w:noProof/>
                <w:color w:val="000000"/>
              </w:rPr>
              <w:drawing>
                <wp:inline distT="0" distB="0" distL="0" distR="0" wp14:anchorId="002F6FA7" wp14:editId="36DB0B6C">
                  <wp:extent cx="1854200" cy="1993900"/>
                  <wp:effectExtent l="0" t="0" r="0" b="6350"/>
                  <wp:docPr id="3" name="Рисунок 3" descr="G:\Мои Научные статьи\2014\В финбезопасность\IMG_0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ои Научные статьи\2014\В финбезопасность\IMG_0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433" cy="205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18" w:rsidRPr="00BE3818" w:rsidTr="00BE3818">
        <w:tc>
          <w:tcPr>
            <w:tcW w:w="3256" w:type="dxa"/>
          </w:tcPr>
          <w:p w:rsidR="00CF795B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  <w:b/>
              </w:rPr>
              <w:t>Криворучко Светлана Витальевна</w:t>
            </w:r>
            <w:r w:rsidRPr="00BE3818">
              <w:rPr>
                <w:rFonts w:ascii="Times New Roman" w:hAnsi="Times New Roman"/>
              </w:rPr>
              <w:t xml:space="preserve">, </w:t>
            </w:r>
          </w:p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  <w:color w:val="000000"/>
              </w:rPr>
              <w:t>профессор Департамента финансовых рынков и банков</w:t>
            </w:r>
            <w:r w:rsidRPr="00BE3818">
              <w:rPr>
                <w:rFonts w:ascii="Times New Roman" w:hAnsi="Times New Roman"/>
              </w:rPr>
              <w:t>, доктор экономических наук, профессор.</w:t>
            </w:r>
          </w:p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F795B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  <w:b/>
              </w:rPr>
              <w:t>Лопатин Валерий Алексеевич</w:t>
            </w:r>
            <w:r w:rsidRPr="00BE3818">
              <w:rPr>
                <w:rFonts w:ascii="Times New Roman" w:hAnsi="Times New Roman"/>
              </w:rPr>
              <w:t xml:space="preserve">, </w:t>
            </w:r>
          </w:p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  <w:color w:val="000000"/>
                <w:shd w:val="clear" w:color="auto" w:fill="FFFFFF"/>
              </w:rPr>
              <w:t>доцент Департамента менеджмента, кандидат экономических наук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66" w:type="dxa"/>
          </w:tcPr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  <w:b/>
              </w:rPr>
              <w:t>Понаморенко Владислав Евгеньевич</w:t>
            </w:r>
            <w:r w:rsidRPr="00BE3818">
              <w:rPr>
                <w:rFonts w:ascii="Times New Roman" w:hAnsi="Times New Roman"/>
              </w:rPr>
              <w:t xml:space="preserve">, доцент </w:t>
            </w:r>
            <w:r w:rsidRPr="00BE3818">
              <w:rPr>
                <w:rFonts w:ascii="Times New Roman" w:hAnsi="Times New Roman"/>
                <w:color w:val="000000"/>
              </w:rPr>
              <w:t>Департамента финансовых рынков и банков</w:t>
            </w:r>
            <w:r w:rsidRPr="00BE3818">
              <w:rPr>
                <w:rFonts w:ascii="Times New Roman" w:hAnsi="Times New Roman"/>
              </w:rPr>
              <w:t>, кандидат юридических наук, доцент.</w:t>
            </w:r>
          </w:p>
        </w:tc>
      </w:tr>
      <w:tr w:rsidR="00BE3818" w:rsidRPr="00BE3818" w:rsidTr="00BE3818">
        <w:tc>
          <w:tcPr>
            <w:tcW w:w="3256" w:type="dxa"/>
          </w:tcPr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</w:rPr>
              <w:t>Контакты:</w:t>
            </w:r>
          </w:p>
          <w:p w:rsidR="00BE3818" w:rsidRPr="00BE3818" w:rsidRDefault="00BE3818" w:rsidP="00BE3818">
            <w:pPr>
              <w:spacing w:line="240" w:lineRule="auto"/>
              <w:rPr>
                <w:rStyle w:val="wmi-callto"/>
                <w:rFonts w:ascii="Times New Roman" w:hAnsi="Times New Roman"/>
                <w:color w:val="000000"/>
              </w:rPr>
            </w:pPr>
            <w:r w:rsidRPr="00BE3818">
              <w:rPr>
                <w:rFonts w:ascii="Times New Roman" w:hAnsi="Times New Roman"/>
                <w:color w:val="000000"/>
              </w:rPr>
              <w:t>8(495)</w:t>
            </w:r>
            <w:r w:rsidRPr="00BE3818">
              <w:rPr>
                <w:rStyle w:val="wmi-callto"/>
                <w:rFonts w:ascii="Times New Roman" w:hAnsi="Times New Roman"/>
                <w:color w:val="000000"/>
              </w:rPr>
              <w:t>682-50-11</w:t>
            </w:r>
          </w:p>
          <w:p w:rsidR="00BE3818" w:rsidRPr="00BE3818" w:rsidRDefault="00F865B0" w:rsidP="00BE3818">
            <w:pPr>
              <w:spacing w:line="240" w:lineRule="auto"/>
              <w:rPr>
                <w:rFonts w:ascii="Times New Roman" w:hAnsi="Times New Roman"/>
              </w:rPr>
            </w:pPr>
            <w:hyperlink r:id="rId11" w:history="1">
              <w:r w:rsidR="00BE3818" w:rsidRPr="00BE3818">
                <w:rPr>
                  <w:rStyle w:val="a7"/>
                  <w:rFonts w:ascii="Times New Roman" w:hAnsi="Times New Roman"/>
                </w:rPr>
                <w:t>skrivoruchko@fa.ru</w:t>
              </w:r>
            </w:hyperlink>
          </w:p>
        </w:tc>
        <w:tc>
          <w:tcPr>
            <w:tcW w:w="2976" w:type="dxa"/>
          </w:tcPr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</w:rPr>
              <w:t>Контакты:</w:t>
            </w:r>
          </w:p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E3818">
              <w:rPr>
                <w:rFonts w:ascii="Times New Roman" w:hAnsi="Times New Roman"/>
                <w:color w:val="000000"/>
              </w:rPr>
              <w:t>7(495)249-5270</w:t>
            </w:r>
          </w:p>
          <w:p w:rsidR="00BE3818" w:rsidRPr="00BE3818" w:rsidRDefault="00F865B0" w:rsidP="00BE3818">
            <w:pPr>
              <w:spacing w:line="240" w:lineRule="auto"/>
              <w:rPr>
                <w:rFonts w:ascii="Times New Roman" w:hAnsi="Times New Roman"/>
              </w:rPr>
            </w:pPr>
            <w:hyperlink r:id="rId12" w:history="1">
              <w:r w:rsidR="00BE3818" w:rsidRPr="00BE3818">
                <w:rPr>
                  <w:rStyle w:val="a7"/>
                  <w:rFonts w:ascii="Times New Roman" w:hAnsi="Times New Roman"/>
                  <w:lang w:val="en-US"/>
                </w:rPr>
                <w:t>VALopatin@fa.ru</w:t>
              </w:r>
            </w:hyperlink>
          </w:p>
        </w:tc>
        <w:tc>
          <w:tcPr>
            <w:tcW w:w="3266" w:type="dxa"/>
          </w:tcPr>
          <w:p w:rsidR="00BE3818" w:rsidRPr="00BE3818" w:rsidRDefault="00BE3818" w:rsidP="00BE3818">
            <w:pPr>
              <w:spacing w:line="240" w:lineRule="auto"/>
              <w:rPr>
                <w:rFonts w:ascii="Times New Roman" w:hAnsi="Times New Roman"/>
              </w:rPr>
            </w:pPr>
            <w:r w:rsidRPr="00BE3818">
              <w:rPr>
                <w:rFonts w:ascii="Times New Roman" w:hAnsi="Times New Roman"/>
              </w:rPr>
              <w:t>Контакты:</w:t>
            </w:r>
          </w:p>
          <w:p w:rsidR="00BE3818" w:rsidRPr="00BE3818" w:rsidRDefault="00BE3818" w:rsidP="00BE3818">
            <w:pPr>
              <w:spacing w:line="240" w:lineRule="auto"/>
              <w:rPr>
                <w:rStyle w:val="wmi-callto"/>
                <w:rFonts w:ascii="Times New Roman" w:hAnsi="Times New Roman"/>
                <w:color w:val="000000"/>
              </w:rPr>
            </w:pPr>
            <w:r w:rsidRPr="00BE3818">
              <w:rPr>
                <w:rFonts w:ascii="Times New Roman" w:hAnsi="Times New Roman"/>
                <w:color w:val="000000"/>
              </w:rPr>
              <w:t>8(495)</w:t>
            </w:r>
            <w:r w:rsidRPr="00BE3818">
              <w:rPr>
                <w:rStyle w:val="wmi-callto"/>
                <w:rFonts w:ascii="Times New Roman" w:hAnsi="Times New Roman"/>
                <w:color w:val="000000"/>
              </w:rPr>
              <w:t>682-50-11</w:t>
            </w:r>
          </w:p>
          <w:p w:rsidR="00BE3818" w:rsidRPr="00BE3818" w:rsidRDefault="00F865B0" w:rsidP="00BE3818">
            <w:pPr>
              <w:spacing w:line="240" w:lineRule="auto"/>
              <w:rPr>
                <w:rFonts w:ascii="Times New Roman" w:hAnsi="Times New Roman"/>
              </w:rPr>
            </w:pPr>
            <w:hyperlink r:id="rId13" w:history="1">
              <w:r w:rsidR="00BE3818" w:rsidRPr="00BE3818">
                <w:rPr>
                  <w:rStyle w:val="a7"/>
                  <w:rFonts w:ascii="Times New Roman" w:hAnsi="Times New Roman"/>
                  <w:lang w:val="en-US"/>
                </w:rPr>
                <w:t>VEPonamorenko</w:t>
              </w:r>
              <w:r w:rsidR="00BE3818" w:rsidRPr="00BE3818">
                <w:rPr>
                  <w:rStyle w:val="a7"/>
                  <w:rFonts w:ascii="Times New Roman" w:hAnsi="Times New Roman"/>
                </w:rPr>
                <w:t>@fa.ru</w:t>
              </w:r>
            </w:hyperlink>
          </w:p>
        </w:tc>
      </w:tr>
    </w:tbl>
    <w:p w:rsidR="00BE3818" w:rsidRDefault="00BE3818" w:rsidP="0080406C">
      <w:pPr>
        <w:spacing w:line="276" w:lineRule="auto"/>
        <w:jc w:val="center"/>
      </w:pPr>
    </w:p>
    <w:p w:rsidR="0088520A" w:rsidRDefault="0088520A" w:rsidP="007A7BF5">
      <w:pPr>
        <w:spacing w:line="276" w:lineRule="auto"/>
      </w:pPr>
    </w:p>
    <w:p w:rsidR="00BE3818" w:rsidRDefault="00BE3818" w:rsidP="007A7BF5">
      <w:pPr>
        <w:spacing w:line="276" w:lineRule="auto"/>
      </w:pPr>
    </w:p>
    <w:p w:rsidR="00BE3818" w:rsidRDefault="00BE3818" w:rsidP="007A7BF5">
      <w:pPr>
        <w:spacing w:line="276" w:lineRule="auto"/>
      </w:pPr>
    </w:p>
    <w:p w:rsidR="00BE3818" w:rsidRDefault="00BE3818" w:rsidP="007A7BF5">
      <w:pPr>
        <w:spacing w:line="276" w:lineRule="auto"/>
      </w:pPr>
    </w:p>
    <w:p w:rsidR="00E06488" w:rsidRDefault="00E06488" w:rsidP="00E06488">
      <w:pPr>
        <w:spacing w:line="276" w:lineRule="auto"/>
      </w:pPr>
    </w:p>
    <w:p w:rsidR="00BE3818" w:rsidRDefault="00BE3818" w:rsidP="00E06488">
      <w:pPr>
        <w:spacing w:line="276" w:lineRule="auto"/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E66F23"/>
    <w:p w:rsidR="008652E9" w:rsidRDefault="00A15DB0" w:rsidP="008652E9">
      <w:pPr>
        <w:ind w:firstLine="709"/>
      </w:pPr>
      <w:r>
        <w:t xml:space="preserve">В основе разработанной </w:t>
      </w:r>
      <w:r w:rsidR="008652E9">
        <w:t>методики</w:t>
      </w:r>
      <w:r w:rsidR="008A7C3D">
        <w:t xml:space="preserve"> показателей </w:t>
      </w:r>
      <w:r>
        <w:t xml:space="preserve">лежит </w:t>
      </w:r>
      <w:r w:rsidR="008652E9">
        <w:t>квалифицированный научный</w:t>
      </w:r>
      <w:r w:rsidR="009A4B4E">
        <w:t xml:space="preserve"> анализ </w:t>
      </w:r>
      <w:r w:rsidR="008652E9">
        <w:t>зарубежного и отечественного опыта функционирования систем идентификации пользователей систем перевода денежных средств в контексте проблематики повышения доступности платежных услуг</w:t>
      </w:r>
      <w:r w:rsidR="008A7C3D">
        <w:t xml:space="preserve">. Анализ проведен </w:t>
      </w:r>
      <w:r w:rsidR="008652E9">
        <w:t>ведущими специалистами экономического и юридического профилей; результаты исследования</w:t>
      </w:r>
      <w:r w:rsidR="008A7C3D">
        <w:t xml:space="preserve"> </w:t>
      </w:r>
      <w:r w:rsidR="008652E9">
        <w:t>опубликованы</w:t>
      </w:r>
      <w:r w:rsidR="008A7C3D">
        <w:t xml:space="preserve"> в </w:t>
      </w:r>
      <w:r w:rsidR="004E7D70">
        <w:t>авторитетных</w:t>
      </w:r>
      <w:r w:rsidR="008A7C3D">
        <w:t xml:space="preserve"> научных изданиях. </w:t>
      </w:r>
    </w:p>
    <w:p w:rsidR="004E7D70" w:rsidRDefault="008652E9" w:rsidP="004E7D70">
      <w:pPr>
        <w:pStyle w:val="a8"/>
      </w:pPr>
      <w:r>
        <w:t>Авторы исследования</w:t>
      </w:r>
      <w:r w:rsidR="000A06D0">
        <w:t xml:space="preserve"> исходят из того, </w:t>
      </w:r>
      <w:r>
        <w:t>что финансовая доступность (в том числе доступность платежных услуг) тесно коррелируется с вопросами идентификации пользователей платежных услуг.</w:t>
      </w:r>
      <w:r w:rsidR="000A06D0">
        <w:t xml:space="preserve"> </w:t>
      </w:r>
    </w:p>
    <w:p w:rsidR="004E7D70" w:rsidRDefault="008652E9" w:rsidP="004E7D70">
      <w:pPr>
        <w:pStyle w:val="a8"/>
      </w:pPr>
      <w:r w:rsidRPr="00F06589">
        <w:t xml:space="preserve">Для </w:t>
      </w:r>
      <w:r w:rsidR="004E7D70">
        <w:t>целей обоснования</w:t>
      </w:r>
      <w:r w:rsidRPr="00F06589">
        <w:t xml:space="preserve"> </w:t>
      </w:r>
      <w:r w:rsidR="004E7D70">
        <w:t xml:space="preserve">направлений </w:t>
      </w:r>
      <w:r w:rsidRPr="00F06589">
        <w:t>повышени</w:t>
      </w:r>
      <w:r w:rsidR="004E7D70">
        <w:t>я</w:t>
      </w:r>
      <w:r w:rsidRPr="00F06589">
        <w:t xml:space="preserve"> доступности платежных услуг российских систем перевода денежных средств за счет развития систем идентификации пользователей построена </w:t>
      </w:r>
      <w:r w:rsidRPr="000A06D0">
        <w:rPr>
          <w:i/>
        </w:rPr>
        <w:t>модель показателя финансовой доступности</w:t>
      </w:r>
      <w:r w:rsidR="004E7D70">
        <w:t xml:space="preserve">, </w:t>
      </w:r>
      <w:r w:rsidRPr="00602D68">
        <w:t>произведена оценка влияния инструментов идентификации пользователей на частные показатели финансовой доступности и на основе этого определена динамика показателя доступности исходя из степени развития инструментов идентификации.</w:t>
      </w:r>
      <w:r w:rsidR="000A06D0">
        <w:t xml:space="preserve"> </w:t>
      </w:r>
    </w:p>
    <w:p w:rsidR="008652E9" w:rsidRDefault="008652E9" w:rsidP="004E7D70">
      <w:pPr>
        <w:pStyle w:val="a8"/>
      </w:pPr>
      <w:r w:rsidRPr="000A06D0">
        <w:t>Итоговая оценка динамики показателя доступности под влиянием инструментов идентификации осуществлена на основании модели показателя финансовой доступности.</w:t>
      </w:r>
      <w:r w:rsidR="004E7D70">
        <w:t xml:space="preserve"> </w:t>
      </w:r>
      <w:r w:rsidRPr="00602D68">
        <w:t xml:space="preserve">Инструменты, оказывающие наибольшее влияние на параметры финансовой доступности, выделены как основные и, на основе анализа мировой практики их применения, положены в основу концептуальных направлений совершенствования систем идентификации и соответствующих </w:t>
      </w:r>
      <w:r w:rsidRPr="004E7D70">
        <w:rPr>
          <w:i/>
        </w:rPr>
        <w:t>законопроектных предложений</w:t>
      </w:r>
      <w:r w:rsidRPr="00602D68">
        <w:t>.</w:t>
      </w:r>
    </w:p>
    <w:p w:rsidR="000A06D0" w:rsidRDefault="000A06D0" w:rsidP="004E7D70">
      <w:pPr>
        <w:pStyle w:val="a8"/>
      </w:pPr>
      <w:r>
        <w:t xml:space="preserve">Полагаем, что разработанные учёными Финансового университета и ведущими практиками в области функционирования национальной платежной системы рекомендации и предложения окажутся полезными в дальнейшей реализации Министерством финансов Российской Федерации и Банком России политики повышения доступности платежных услуг, в том числе посредством внесения изменений в действующие и принятия новых нормативных </w:t>
      </w:r>
      <w:r w:rsidR="004E7D70">
        <w:t xml:space="preserve">правовых </w:t>
      </w:r>
      <w:r>
        <w:t>актов.</w:t>
      </w:r>
    </w:p>
    <w:p w:rsidR="00482BA5" w:rsidRPr="00AC4254" w:rsidRDefault="00482BA5" w:rsidP="00E82887">
      <w:pPr>
        <w:ind w:firstLine="709"/>
      </w:pPr>
    </w:p>
    <w:sectPr w:rsidR="00482BA5" w:rsidRPr="00AC4254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B0" w:rsidRDefault="00F865B0" w:rsidP="00A53B86">
      <w:pPr>
        <w:spacing w:line="240" w:lineRule="auto"/>
      </w:pPr>
      <w:r>
        <w:separator/>
      </w:r>
    </w:p>
  </w:endnote>
  <w:endnote w:type="continuationSeparator" w:id="0">
    <w:p w:rsidR="00F865B0" w:rsidRDefault="00F865B0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B0" w:rsidRDefault="00F865B0" w:rsidP="00A53B86">
      <w:pPr>
        <w:spacing w:line="240" w:lineRule="auto"/>
      </w:pPr>
      <w:r>
        <w:separator/>
      </w:r>
    </w:p>
  </w:footnote>
  <w:footnote w:type="continuationSeparator" w:id="0">
    <w:p w:rsidR="00F865B0" w:rsidRDefault="00F865B0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7249"/>
    <w:multiLevelType w:val="hybridMultilevel"/>
    <w:tmpl w:val="6D90BF7E"/>
    <w:lvl w:ilvl="0" w:tplc="5A90B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A06D0"/>
    <w:rsid w:val="000B00C9"/>
    <w:rsid w:val="000C1251"/>
    <w:rsid w:val="000E180B"/>
    <w:rsid w:val="000F7C38"/>
    <w:rsid w:val="0010074D"/>
    <w:rsid w:val="00113E88"/>
    <w:rsid w:val="00170CC2"/>
    <w:rsid w:val="00172BE8"/>
    <w:rsid w:val="001A68D7"/>
    <w:rsid w:val="001E1972"/>
    <w:rsid w:val="002053F7"/>
    <w:rsid w:val="002362EE"/>
    <w:rsid w:val="00284D17"/>
    <w:rsid w:val="00291A97"/>
    <w:rsid w:val="0029483D"/>
    <w:rsid w:val="0030539C"/>
    <w:rsid w:val="003311C2"/>
    <w:rsid w:val="003350E9"/>
    <w:rsid w:val="003816E9"/>
    <w:rsid w:val="003F3512"/>
    <w:rsid w:val="003F435C"/>
    <w:rsid w:val="00445638"/>
    <w:rsid w:val="00452C33"/>
    <w:rsid w:val="00482BA5"/>
    <w:rsid w:val="004858ED"/>
    <w:rsid w:val="00494A6D"/>
    <w:rsid w:val="004C4601"/>
    <w:rsid w:val="004E61B6"/>
    <w:rsid w:val="004E7D70"/>
    <w:rsid w:val="004F4BB5"/>
    <w:rsid w:val="0051317A"/>
    <w:rsid w:val="0052458D"/>
    <w:rsid w:val="0059292F"/>
    <w:rsid w:val="005A3DDD"/>
    <w:rsid w:val="005C7AEC"/>
    <w:rsid w:val="005D1F3E"/>
    <w:rsid w:val="005E1D74"/>
    <w:rsid w:val="005E62C8"/>
    <w:rsid w:val="006777C8"/>
    <w:rsid w:val="006813F7"/>
    <w:rsid w:val="00696DA5"/>
    <w:rsid w:val="006A4049"/>
    <w:rsid w:val="006F5F1F"/>
    <w:rsid w:val="006F67DE"/>
    <w:rsid w:val="0071121E"/>
    <w:rsid w:val="00744020"/>
    <w:rsid w:val="00744309"/>
    <w:rsid w:val="007631BC"/>
    <w:rsid w:val="00785632"/>
    <w:rsid w:val="007A7BF5"/>
    <w:rsid w:val="007E697A"/>
    <w:rsid w:val="007F45B0"/>
    <w:rsid w:val="0080406C"/>
    <w:rsid w:val="00820BEE"/>
    <w:rsid w:val="008652E9"/>
    <w:rsid w:val="0087129C"/>
    <w:rsid w:val="0088520A"/>
    <w:rsid w:val="008A7C3D"/>
    <w:rsid w:val="008E04B4"/>
    <w:rsid w:val="00935196"/>
    <w:rsid w:val="00954DE7"/>
    <w:rsid w:val="009A4B4E"/>
    <w:rsid w:val="009E4C7E"/>
    <w:rsid w:val="00A15DB0"/>
    <w:rsid w:val="00A53B86"/>
    <w:rsid w:val="00A7479F"/>
    <w:rsid w:val="00AA5E9C"/>
    <w:rsid w:val="00AC4254"/>
    <w:rsid w:val="00AC5AAE"/>
    <w:rsid w:val="00B1046D"/>
    <w:rsid w:val="00B15589"/>
    <w:rsid w:val="00B44760"/>
    <w:rsid w:val="00B47586"/>
    <w:rsid w:val="00B47C70"/>
    <w:rsid w:val="00BA105C"/>
    <w:rsid w:val="00BE1436"/>
    <w:rsid w:val="00BE3818"/>
    <w:rsid w:val="00C04627"/>
    <w:rsid w:val="00C05609"/>
    <w:rsid w:val="00C0603C"/>
    <w:rsid w:val="00C06AE7"/>
    <w:rsid w:val="00C108F6"/>
    <w:rsid w:val="00C13CDD"/>
    <w:rsid w:val="00C20A52"/>
    <w:rsid w:val="00C27CE9"/>
    <w:rsid w:val="00C705B3"/>
    <w:rsid w:val="00C871C6"/>
    <w:rsid w:val="00CB5774"/>
    <w:rsid w:val="00CF795B"/>
    <w:rsid w:val="00D011D5"/>
    <w:rsid w:val="00D41210"/>
    <w:rsid w:val="00DA6C22"/>
    <w:rsid w:val="00DD6AE7"/>
    <w:rsid w:val="00E06488"/>
    <w:rsid w:val="00E4239A"/>
    <w:rsid w:val="00E66F23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4F46"/>
    <w:rsid w:val="00F865B0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482B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BA5"/>
    <w:rPr>
      <w:color w:val="808080"/>
      <w:shd w:val="clear" w:color="auto" w:fill="E6E6E6"/>
    </w:rPr>
  </w:style>
  <w:style w:type="paragraph" w:customStyle="1" w:styleId="a8">
    <w:name w:val="НИР"/>
    <w:basedOn w:val="a9"/>
    <w:link w:val="aa"/>
    <w:qFormat/>
    <w:rsid w:val="008652E9"/>
    <w:pPr>
      <w:ind w:firstLine="709"/>
    </w:pPr>
    <w:rPr>
      <w:rFonts w:eastAsia="Times New Roman"/>
      <w:bCs w:val="0"/>
      <w:sz w:val="28"/>
      <w:szCs w:val="28"/>
    </w:rPr>
  </w:style>
  <w:style w:type="character" w:customStyle="1" w:styleId="aa">
    <w:name w:val="НИР Знак"/>
    <w:link w:val="a8"/>
    <w:rsid w:val="008652E9"/>
    <w:rPr>
      <w:sz w:val="28"/>
      <w:szCs w:val="28"/>
    </w:rPr>
  </w:style>
  <w:style w:type="paragraph" w:styleId="a9">
    <w:name w:val="Normal (Web)"/>
    <w:basedOn w:val="a"/>
    <w:semiHidden/>
    <w:unhideWhenUsed/>
    <w:rsid w:val="008652E9"/>
    <w:rPr>
      <w:sz w:val="24"/>
      <w:szCs w:val="24"/>
    </w:rPr>
  </w:style>
  <w:style w:type="paragraph" w:customStyle="1" w:styleId="Default">
    <w:name w:val="Default"/>
    <w:rsid w:val="008652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aliases w:val="ТЗ список"/>
    <w:basedOn w:val="a"/>
    <w:link w:val="ac"/>
    <w:uiPriority w:val="34"/>
    <w:qFormat/>
    <w:rsid w:val="008652E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"/>
    <w:link w:val="ab"/>
    <w:uiPriority w:val="34"/>
    <w:locked/>
    <w:rsid w:val="008652E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Ponamorenko@fa.r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opatin@fa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rivoruchko@f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14230-4B98-42CD-9472-39E590F8D8D1}"/>
</file>

<file path=customXml/itemProps2.xml><?xml version="1.0" encoding="utf-8"?>
<ds:datastoreItem xmlns:ds="http://schemas.openxmlformats.org/officeDocument/2006/customXml" ds:itemID="{92353F6C-466A-49C1-A7B5-8E5E8D93E2C5}"/>
</file>

<file path=customXml/itemProps3.xml><?xml version="1.0" encoding="utf-8"?>
<ds:datastoreItem xmlns:ds="http://schemas.openxmlformats.org/officeDocument/2006/customXml" ds:itemID="{0EF60207-8E54-4671-B8A1-37D9070C233E}"/>
</file>

<file path=customXml/itemProps4.xml><?xml version="1.0" encoding="utf-8"?>
<ds:datastoreItem xmlns:ds="http://schemas.openxmlformats.org/officeDocument/2006/customXml" ds:itemID="{E82F85BB-CA36-487A-9556-5FF089ACE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Методики оценки влияния инструментов идентификации пользователей на параметры доступности платежных услуг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2018-04-09T12:21:00Z</dcterms:created>
  <dcterms:modified xsi:type="dcterms:W3CDTF">2018-04-09T12:21:00Z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