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8F" w:rsidRPr="00301887" w:rsidRDefault="00304F8F" w:rsidP="00304F8F">
      <w:pPr>
        <w:spacing w:line="240" w:lineRule="auto"/>
        <w:contextualSpacing/>
        <w:jc w:val="center"/>
        <w:rPr>
          <w:rFonts w:ascii="Times New Roman" w:hAnsi="Times New Roman" w:cs="Times New Roman"/>
          <w:sz w:val="28"/>
          <w:szCs w:val="28"/>
        </w:rPr>
      </w:pPr>
      <w:r w:rsidRPr="00301887">
        <w:rPr>
          <w:rFonts w:ascii="Times New Roman" w:hAnsi="Times New Roman" w:cs="Times New Roman"/>
          <w:sz w:val="28"/>
          <w:szCs w:val="28"/>
        </w:rPr>
        <w:t>Результат интеллектуальной деятельности</w:t>
      </w:r>
    </w:p>
    <w:p w:rsidR="00304F8F" w:rsidRPr="00301887" w:rsidRDefault="00304F8F" w:rsidP="00304F8F">
      <w:pPr>
        <w:spacing w:line="240" w:lineRule="auto"/>
        <w:contextualSpacing/>
        <w:jc w:val="center"/>
        <w:rPr>
          <w:rFonts w:ascii="Times New Roman" w:hAnsi="Times New Roman" w:cs="Times New Roman"/>
          <w:sz w:val="28"/>
          <w:szCs w:val="28"/>
        </w:rPr>
      </w:pPr>
      <w:r w:rsidRPr="00301887">
        <w:rPr>
          <w:rFonts w:ascii="Times New Roman" w:hAnsi="Times New Roman" w:cs="Times New Roman"/>
          <w:sz w:val="28"/>
          <w:szCs w:val="28"/>
        </w:rPr>
        <w:t>в виде секрета производства (ноу-хау)</w:t>
      </w:r>
    </w:p>
    <w:p w:rsidR="00304F8F" w:rsidRPr="00301887" w:rsidRDefault="00304F8F" w:rsidP="00304F8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00857DBE" w:rsidRPr="00857DBE">
        <w:rPr>
          <w:rFonts w:ascii="Times New Roman" w:hAnsi="Times New Roman" w:cs="Times New Roman"/>
          <w:b/>
          <w:sz w:val="28"/>
          <w:szCs w:val="28"/>
        </w:rPr>
        <w:t xml:space="preserve">ПРОГРАММНЫЙ ПРОДУКТ, РЕАЛИЗУЮЩИЙ </w:t>
      </w:r>
      <w:bookmarkStart w:id="0" w:name="_GoBack"/>
      <w:r w:rsidR="00857DBE" w:rsidRPr="00857DBE">
        <w:rPr>
          <w:rFonts w:ascii="Times New Roman" w:hAnsi="Times New Roman" w:cs="Times New Roman"/>
          <w:b/>
          <w:sz w:val="28"/>
          <w:szCs w:val="28"/>
        </w:rPr>
        <w:t>АЛГОРИТМЫ ПРЕДСКАЗАНИЯ БУДУЩИХ МОМЕНТОВ СМЕНЫ СОСТОЯНИЙ РЫНКА, ОСНОВАННЫЕ НА ИСПОЛЬЗОВАНИИ СВЕРТОЧНЫХ НЕЙРОННЫХ СЕТЕЙ</w:t>
      </w:r>
      <w:bookmarkEnd w:id="0"/>
      <w:r>
        <w:rPr>
          <w:rFonts w:ascii="Times New Roman" w:hAnsi="Times New Roman" w:cs="Times New Roman"/>
          <w:b/>
          <w:sz w:val="28"/>
          <w:szCs w:val="28"/>
        </w:rPr>
        <w:t>»</w:t>
      </w:r>
    </w:p>
    <w:p w:rsidR="00304F8F" w:rsidRPr="00301887" w:rsidRDefault="00304F8F" w:rsidP="00304F8F">
      <w:pPr>
        <w:spacing w:line="240" w:lineRule="auto"/>
        <w:contextualSpacing/>
        <w:jc w:val="center"/>
        <w:rPr>
          <w:rFonts w:ascii="Times New Roman" w:hAnsi="Times New Roman" w:cs="Times New Roman"/>
          <w:sz w:val="28"/>
          <w:szCs w:val="28"/>
        </w:rPr>
      </w:pPr>
      <w:r w:rsidRPr="00301887">
        <w:rPr>
          <w:rFonts w:ascii="Times New Roman" w:hAnsi="Times New Roman" w:cs="Times New Roman"/>
          <w:sz w:val="28"/>
          <w:szCs w:val="28"/>
        </w:rPr>
        <w:t>разработан в рамках научно-исследовательской работы по теме:</w:t>
      </w:r>
    </w:p>
    <w:p w:rsidR="00304F8F" w:rsidRDefault="00304F8F" w:rsidP="00304F8F">
      <w:pPr>
        <w:spacing w:line="240" w:lineRule="auto"/>
        <w:ind w:left="709"/>
        <w:contextualSpacing/>
        <w:jc w:val="center"/>
        <w:rPr>
          <w:rFonts w:ascii="Times New Roman" w:hAnsi="Times New Roman" w:cs="Times New Roman"/>
          <w:sz w:val="28"/>
          <w:szCs w:val="28"/>
        </w:rPr>
      </w:pPr>
      <w:r w:rsidRPr="00301887">
        <w:rPr>
          <w:rFonts w:ascii="Times New Roman" w:hAnsi="Times New Roman" w:cs="Times New Roman"/>
          <w:sz w:val="28"/>
          <w:szCs w:val="28"/>
        </w:rPr>
        <w:t xml:space="preserve">«Разработка модели секторального развития финансового рынка Российской Федерации в условиях современных трансформаций мировой валютно-финансовой системы» (ВТК-ГЗ-29-17) в рамках </w:t>
      </w:r>
    </w:p>
    <w:p w:rsidR="00304F8F" w:rsidRPr="00301887" w:rsidRDefault="00304F8F" w:rsidP="00304F8F">
      <w:pPr>
        <w:spacing w:line="240" w:lineRule="auto"/>
        <w:ind w:left="709"/>
        <w:contextualSpacing/>
        <w:jc w:val="center"/>
        <w:rPr>
          <w:rFonts w:ascii="Times New Roman" w:hAnsi="Times New Roman" w:cs="Times New Roman"/>
          <w:sz w:val="28"/>
          <w:szCs w:val="28"/>
        </w:rPr>
      </w:pPr>
      <w:r w:rsidRPr="00301887">
        <w:rPr>
          <w:rFonts w:ascii="Times New Roman" w:hAnsi="Times New Roman" w:cs="Times New Roman"/>
          <w:sz w:val="28"/>
          <w:szCs w:val="28"/>
        </w:rPr>
        <w:t>государственного задания на 201</w:t>
      </w:r>
      <w:r w:rsidR="00857DBE">
        <w:rPr>
          <w:rFonts w:ascii="Times New Roman" w:hAnsi="Times New Roman" w:cs="Times New Roman"/>
          <w:sz w:val="28"/>
          <w:szCs w:val="28"/>
        </w:rPr>
        <w:t>8</w:t>
      </w:r>
      <w:r w:rsidRPr="00301887">
        <w:rPr>
          <w:rFonts w:ascii="Times New Roman" w:hAnsi="Times New Roman" w:cs="Times New Roman"/>
          <w:sz w:val="28"/>
          <w:szCs w:val="28"/>
        </w:rPr>
        <w:t xml:space="preserve"> год</w:t>
      </w:r>
    </w:p>
    <w:p w:rsidR="00304F8F" w:rsidRPr="00301887" w:rsidRDefault="00304F8F" w:rsidP="00304F8F">
      <w:pPr>
        <w:spacing w:line="276" w:lineRule="auto"/>
        <w:rPr>
          <w:sz w:val="28"/>
          <w:szCs w:val="28"/>
        </w:rPr>
      </w:pPr>
    </w:p>
    <w:p w:rsidR="00172618" w:rsidRPr="00301887" w:rsidRDefault="00172618" w:rsidP="00172618">
      <w:pPr>
        <w:spacing w:line="276" w:lineRule="auto"/>
        <w:rPr>
          <w:rFonts w:ascii="Times New Roman" w:hAnsi="Times New Roman" w:cs="Times New Roman"/>
          <w:sz w:val="28"/>
          <w:szCs w:val="28"/>
        </w:rPr>
      </w:pPr>
      <w:r w:rsidRPr="00301887">
        <w:rPr>
          <w:rFonts w:ascii="Times New Roman" w:hAnsi="Times New Roman" w:cs="Times New Roman"/>
          <w:sz w:val="28"/>
          <w:szCs w:val="28"/>
        </w:rPr>
        <w:t>Сведения об авторах:</w:t>
      </w:r>
    </w:p>
    <w:p w:rsidR="00172618" w:rsidRPr="00301887" w:rsidRDefault="00172618" w:rsidP="00172618">
      <w:pPr>
        <w:spacing w:line="240" w:lineRule="auto"/>
        <w:contextualSpacing/>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2743C125" wp14:editId="6D556EA6">
            <wp:simplePos x="0" y="0"/>
            <wp:positionH relativeFrom="column">
              <wp:posOffset>-3810</wp:posOffset>
            </wp:positionH>
            <wp:positionV relativeFrom="paragraph">
              <wp:posOffset>635</wp:posOffset>
            </wp:positionV>
            <wp:extent cx="742950" cy="1010816"/>
            <wp:effectExtent l="0" t="0" r="0" b="0"/>
            <wp:wrapSquare wrapText="bothSides"/>
            <wp:docPr id="4" name="Рисунок 4" descr="http://www.fa.ru/org/dep/findata/PublishingImages/Solovi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a.ru/org/dep/findata/PublishingImages/Solovie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1010816"/>
                    </a:xfrm>
                    <a:prstGeom prst="rect">
                      <a:avLst/>
                    </a:prstGeom>
                    <a:noFill/>
                    <a:ln>
                      <a:noFill/>
                    </a:ln>
                  </pic:spPr>
                </pic:pic>
              </a:graphicData>
            </a:graphic>
          </wp:anchor>
        </w:drawing>
      </w:r>
      <w:r>
        <w:rPr>
          <w:rFonts w:ascii="Times New Roman" w:hAnsi="Times New Roman" w:cs="Times New Roman"/>
          <w:b/>
          <w:sz w:val="28"/>
          <w:szCs w:val="28"/>
        </w:rPr>
        <w:t>Соловьев Владимир Игоревич</w:t>
      </w:r>
      <w:r w:rsidRPr="00301887">
        <w:rPr>
          <w:rFonts w:ascii="Times New Roman" w:hAnsi="Times New Roman" w:cs="Times New Roman"/>
          <w:sz w:val="28"/>
          <w:szCs w:val="28"/>
        </w:rPr>
        <w:t xml:space="preserve"> д.э.н., профессор, Руководитель департамента </w:t>
      </w:r>
    </w:p>
    <w:p w:rsidR="00172618" w:rsidRPr="00301887" w:rsidRDefault="00172618" w:rsidP="00172618">
      <w:pPr>
        <w:spacing w:line="240" w:lineRule="auto"/>
        <w:contextualSpacing/>
        <w:rPr>
          <w:rFonts w:ascii="Times New Roman" w:hAnsi="Times New Roman" w:cs="Times New Roman"/>
          <w:sz w:val="28"/>
          <w:szCs w:val="28"/>
        </w:rPr>
      </w:pPr>
      <w:r>
        <w:rPr>
          <w:rFonts w:ascii="Times New Roman" w:hAnsi="Times New Roman" w:cs="Times New Roman"/>
          <w:sz w:val="28"/>
          <w:szCs w:val="28"/>
        </w:rPr>
        <w:t>Анализа данных, принятия решений и финансовых технологий</w:t>
      </w:r>
    </w:p>
    <w:p w:rsidR="00172618" w:rsidRPr="00301887" w:rsidRDefault="00172618" w:rsidP="00172618">
      <w:pPr>
        <w:spacing w:line="240" w:lineRule="auto"/>
        <w:contextualSpacing/>
        <w:rPr>
          <w:rFonts w:ascii="Times New Roman" w:hAnsi="Times New Roman" w:cs="Times New Roman"/>
          <w:b/>
          <w:sz w:val="28"/>
          <w:szCs w:val="28"/>
        </w:rPr>
      </w:pPr>
      <w:r w:rsidRPr="00301887">
        <w:rPr>
          <w:rFonts w:ascii="Times New Roman" w:hAnsi="Times New Roman" w:cs="Times New Roman"/>
          <w:b/>
          <w:sz w:val="28"/>
          <w:szCs w:val="28"/>
        </w:rPr>
        <w:t xml:space="preserve"> </w:t>
      </w:r>
    </w:p>
    <w:p w:rsidR="00172618" w:rsidRPr="00301887" w:rsidRDefault="00172618" w:rsidP="00172618">
      <w:pPr>
        <w:spacing w:line="240" w:lineRule="auto"/>
        <w:contextualSpacing/>
        <w:rPr>
          <w:rFonts w:ascii="Times New Roman" w:hAnsi="Times New Roman" w:cs="Times New Roman"/>
          <w:b/>
          <w:sz w:val="28"/>
          <w:szCs w:val="28"/>
        </w:rPr>
      </w:pPr>
    </w:p>
    <w:p w:rsidR="00172618" w:rsidRPr="00301887" w:rsidRDefault="00172618" w:rsidP="00172618">
      <w:pPr>
        <w:spacing w:line="240" w:lineRule="auto"/>
        <w:contextualSpacing/>
        <w:rPr>
          <w:rFonts w:ascii="Times New Roman" w:hAnsi="Times New Roman" w:cs="Times New Roman"/>
          <w:b/>
          <w:sz w:val="28"/>
          <w:szCs w:val="28"/>
        </w:rPr>
      </w:pPr>
    </w:p>
    <w:p w:rsidR="00172618" w:rsidRPr="00301887" w:rsidRDefault="00172618" w:rsidP="00172618">
      <w:pPr>
        <w:spacing w:line="240" w:lineRule="auto"/>
        <w:contextualSpacing/>
        <w:rPr>
          <w:rFonts w:ascii="Times New Roman" w:hAnsi="Times New Roman" w:cs="Times New Roman"/>
          <w:b/>
          <w:sz w:val="28"/>
          <w:szCs w:val="28"/>
        </w:rPr>
      </w:pPr>
    </w:p>
    <w:p w:rsidR="00172618" w:rsidRPr="003868EF" w:rsidRDefault="00172618" w:rsidP="00172618">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Золотарева Екатерина Леоновна</w:t>
      </w:r>
      <w:r w:rsidRPr="00301887">
        <w:rPr>
          <w:rFonts w:ascii="Times New Roman" w:hAnsi="Times New Roman" w:cs="Times New Roman"/>
          <w:sz w:val="28"/>
          <w:szCs w:val="28"/>
        </w:rPr>
        <w:t xml:space="preserve"> </w:t>
      </w:r>
      <w:r>
        <w:rPr>
          <w:rFonts w:ascii="Times New Roman" w:hAnsi="Times New Roman" w:cs="Times New Roman"/>
          <w:sz w:val="28"/>
          <w:szCs w:val="28"/>
        </w:rPr>
        <w:t>к.э.н., стар. преп. Д</w:t>
      </w:r>
      <w:r w:rsidRPr="00301887">
        <w:rPr>
          <w:rFonts w:ascii="Times New Roman" w:hAnsi="Times New Roman" w:cs="Times New Roman"/>
          <w:sz w:val="28"/>
          <w:szCs w:val="28"/>
        </w:rPr>
        <w:t xml:space="preserve">епартамента </w:t>
      </w:r>
      <w:r>
        <w:rPr>
          <w:rFonts w:ascii="Times New Roman" w:hAnsi="Times New Roman" w:cs="Times New Roman"/>
          <w:sz w:val="28"/>
          <w:szCs w:val="28"/>
        </w:rPr>
        <w:t>анализа данных, принятия решений и финансовых технологий</w:t>
      </w:r>
    </w:p>
    <w:p w:rsidR="00172618" w:rsidRPr="00301887" w:rsidRDefault="00172618" w:rsidP="00172618">
      <w:pPr>
        <w:spacing w:line="240" w:lineRule="auto"/>
        <w:contextualSpacing/>
        <w:rPr>
          <w:rFonts w:ascii="Times New Roman" w:hAnsi="Times New Roman" w:cs="Times New Roman"/>
          <w:b/>
          <w:sz w:val="28"/>
          <w:szCs w:val="28"/>
        </w:rPr>
      </w:pPr>
    </w:p>
    <w:p w:rsidR="00172618" w:rsidRPr="00301887" w:rsidRDefault="00172618" w:rsidP="00172618">
      <w:pPr>
        <w:spacing w:line="240" w:lineRule="auto"/>
        <w:contextualSpacing/>
        <w:rPr>
          <w:rFonts w:ascii="Times New Roman" w:hAnsi="Times New Roman" w:cs="Times New Roman"/>
          <w:b/>
          <w:sz w:val="28"/>
          <w:szCs w:val="28"/>
        </w:rPr>
      </w:pPr>
    </w:p>
    <w:p w:rsidR="00172618" w:rsidRPr="00301887" w:rsidRDefault="00172618" w:rsidP="00172618">
      <w:pPr>
        <w:spacing w:line="240" w:lineRule="auto"/>
        <w:contextualSpacing/>
        <w:rPr>
          <w:rFonts w:ascii="Times New Roman" w:hAnsi="Times New Roman" w:cs="Times New Roman"/>
          <w:b/>
          <w:sz w:val="28"/>
          <w:szCs w:val="28"/>
        </w:rPr>
      </w:pPr>
    </w:p>
    <w:p w:rsidR="00172618" w:rsidRPr="00301887" w:rsidRDefault="00172618" w:rsidP="00172618">
      <w:pPr>
        <w:spacing w:line="240" w:lineRule="auto"/>
        <w:contextualSpacing/>
        <w:rPr>
          <w:rFonts w:ascii="Times New Roman" w:hAnsi="Times New Roman" w:cs="Times New Roman"/>
          <w:b/>
          <w:sz w:val="28"/>
          <w:szCs w:val="28"/>
        </w:rPr>
      </w:pPr>
    </w:p>
    <w:p w:rsidR="00172618" w:rsidRPr="00301887" w:rsidRDefault="00172618" w:rsidP="00172618">
      <w:pPr>
        <w:spacing w:line="240" w:lineRule="auto"/>
        <w:contextualSpacing/>
        <w:rPr>
          <w:rFonts w:ascii="Times New Roman" w:hAnsi="Times New Roman" w:cs="Times New Roman"/>
          <w:sz w:val="28"/>
          <w:szCs w:val="28"/>
        </w:rPr>
      </w:pPr>
      <w:r w:rsidRPr="00301887">
        <w:rPr>
          <w:rFonts w:ascii="Times New Roman" w:hAnsi="Times New Roman" w:cs="Times New Roman"/>
          <w:sz w:val="28"/>
          <w:szCs w:val="28"/>
        </w:rPr>
        <w:t>Контакты:</w:t>
      </w:r>
    </w:p>
    <w:p w:rsidR="00172618" w:rsidRPr="00301887" w:rsidRDefault="00172618" w:rsidP="00172618">
      <w:pPr>
        <w:spacing w:line="240" w:lineRule="auto"/>
        <w:contextualSpacing/>
        <w:rPr>
          <w:rFonts w:ascii="Times New Roman" w:hAnsi="Times New Roman" w:cs="Times New Roman"/>
          <w:b/>
          <w:sz w:val="28"/>
          <w:szCs w:val="28"/>
        </w:rPr>
      </w:pPr>
      <w:r w:rsidRPr="006F3EAB">
        <w:rPr>
          <w:rFonts w:ascii="Times New Roman" w:hAnsi="Times New Roman" w:cs="Times New Roman"/>
          <w:sz w:val="28"/>
          <w:szCs w:val="28"/>
          <w:lang w:val="en-US"/>
        </w:rPr>
        <w:t>VSoloviev@fa.ru</w:t>
      </w:r>
    </w:p>
    <w:p w:rsidR="00304F8F" w:rsidRDefault="00304F8F" w:rsidP="00304F8F">
      <w:pPr>
        <w:spacing w:line="240" w:lineRule="auto"/>
        <w:jc w:val="center"/>
      </w:pPr>
    </w:p>
    <w:p w:rsidR="00172618" w:rsidRDefault="00172618" w:rsidP="001726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РЕКЛАМНО-ТЕХНИЧЕСКОЕ ОПИСАНИЕ</w:t>
      </w:r>
    </w:p>
    <w:p w:rsidR="00172618" w:rsidRDefault="00172618" w:rsidP="0017261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разработанной прогнозной модели определения смены трендов на фондовом рынке лежат новейшие методы глубокого состязательного обучения автоматической классификации образов на основе анализа корпуса данных, размеченных экспертами. Модель использует подход, основанных на генеративно-состязательных сетях для автоматизации процесса машинного обучения в области распознавания образов.</w:t>
      </w:r>
    </w:p>
    <w:p w:rsidR="00172618" w:rsidRDefault="00172618" w:rsidP="00172618">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Модель позволяет на основании большого корпуса исторических данных построить сложную систему в виде многослойной искусственной нейронной сети со множеством настраиваемых параметров и гиперпараметров. Данная модель способна обучаться на исторических данных, подстраивая свои параметры под реальные скрытые зависимости в них. Единожды обученная, модель способна использовать результаты, выделенные из обучающей выборки для построения прогнозов по вновь заносимым в модель данным.</w:t>
      </w:r>
    </w:p>
    <w:p w:rsidR="00172618" w:rsidRDefault="00172618" w:rsidP="00172618">
      <w:pPr>
        <w:spacing w:after="0" w:line="276" w:lineRule="auto"/>
        <w:ind w:firstLine="709"/>
        <w:contextualSpacing/>
        <w:jc w:val="both"/>
        <w:rPr>
          <w:rStyle w:val="a3"/>
          <w:i w:val="0"/>
          <w:color w:val="000000"/>
        </w:rPr>
      </w:pPr>
      <w:r>
        <w:rPr>
          <w:rStyle w:val="a3"/>
          <w:color w:val="000000"/>
          <w:sz w:val="28"/>
          <w:szCs w:val="28"/>
        </w:rPr>
        <w:t xml:space="preserve">Для построения моделей был разработан специальный скрипт на языке </w:t>
      </w:r>
      <w:r>
        <w:rPr>
          <w:rStyle w:val="a3"/>
          <w:color w:val="000000"/>
          <w:sz w:val="28"/>
          <w:szCs w:val="28"/>
          <w:lang w:val="en-US"/>
        </w:rPr>
        <w:t>Python</w:t>
      </w:r>
      <w:r>
        <w:rPr>
          <w:rStyle w:val="a3"/>
          <w:color w:val="000000"/>
          <w:sz w:val="28"/>
          <w:szCs w:val="28"/>
        </w:rPr>
        <w:t xml:space="preserve">, исполняемый в одноименной среде. Скрипт использует средства библиотек </w:t>
      </w:r>
      <w:r>
        <w:rPr>
          <w:rStyle w:val="a3"/>
          <w:color w:val="000000"/>
          <w:sz w:val="28"/>
          <w:szCs w:val="28"/>
          <w:lang w:val="en-US"/>
        </w:rPr>
        <w:t xml:space="preserve">Google Tensorflow </w:t>
      </w:r>
      <w:r>
        <w:rPr>
          <w:rStyle w:val="a3"/>
          <w:color w:val="000000"/>
          <w:sz w:val="28"/>
          <w:szCs w:val="28"/>
        </w:rPr>
        <w:t xml:space="preserve">и </w:t>
      </w:r>
      <w:r>
        <w:rPr>
          <w:rStyle w:val="a3"/>
          <w:color w:val="000000"/>
          <w:sz w:val="28"/>
          <w:szCs w:val="28"/>
          <w:lang w:val="en-US"/>
        </w:rPr>
        <w:t xml:space="preserve">Keras </w:t>
      </w:r>
      <w:r>
        <w:rPr>
          <w:rStyle w:val="a3"/>
          <w:color w:val="000000"/>
          <w:sz w:val="28"/>
          <w:szCs w:val="28"/>
        </w:rPr>
        <w:t xml:space="preserve">для проведения машинного обучения с использованием возможностей графического процессора. </w:t>
      </w:r>
    </w:p>
    <w:p w:rsidR="00172618" w:rsidRDefault="00172618" w:rsidP="00172618">
      <w:pPr>
        <w:spacing w:after="0" w:line="240" w:lineRule="auto"/>
        <w:ind w:firstLine="709"/>
        <w:contextualSpacing/>
        <w:jc w:val="both"/>
        <w:rPr>
          <w:rStyle w:val="a3"/>
          <w:i w:val="0"/>
          <w:color w:val="000000"/>
          <w:sz w:val="28"/>
          <w:szCs w:val="28"/>
        </w:rPr>
      </w:pPr>
      <w:r>
        <w:rPr>
          <w:rStyle w:val="a3"/>
          <w:color w:val="000000"/>
          <w:sz w:val="28"/>
          <w:szCs w:val="28"/>
        </w:rPr>
        <w:t>Алгоритм построения содержит следующие шаги:</w:t>
      </w:r>
    </w:p>
    <w:p w:rsidR="00172618" w:rsidRDefault="00172618" w:rsidP="00172618">
      <w:pPr>
        <w:pStyle w:val="2"/>
        <w:numPr>
          <w:ilvl w:val="0"/>
          <w:numId w:val="2"/>
        </w:numPr>
        <w:tabs>
          <w:tab w:val="num" w:pos="0"/>
        </w:tabs>
        <w:spacing w:after="0" w:line="240" w:lineRule="auto"/>
        <w:ind w:left="1429"/>
        <w:contextualSpacing/>
        <w:jc w:val="both"/>
        <w:rPr>
          <w:rStyle w:val="a3"/>
          <w:i w:val="0"/>
          <w:color w:val="000000"/>
          <w:sz w:val="28"/>
          <w:szCs w:val="28"/>
        </w:rPr>
      </w:pPr>
      <w:r>
        <w:rPr>
          <w:rStyle w:val="a3"/>
          <w:color w:val="000000"/>
          <w:sz w:val="28"/>
          <w:szCs w:val="28"/>
        </w:rPr>
        <w:t xml:space="preserve">Шаг ввода исходных данных </w:t>
      </w:r>
    </w:p>
    <w:p w:rsidR="00172618" w:rsidRDefault="00172618" w:rsidP="00172618">
      <w:pPr>
        <w:pStyle w:val="2"/>
        <w:numPr>
          <w:ilvl w:val="0"/>
          <w:numId w:val="2"/>
        </w:numPr>
        <w:tabs>
          <w:tab w:val="num" w:pos="0"/>
        </w:tabs>
        <w:spacing w:after="0" w:line="240" w:lineRule="auto"/>
        <w:ind w:left="1429"/>
        <w:contextualSpacing/>
        <w:jc w:val="both"/>
        <w:rPr>
          <w:rStyle w:val="a3"/>
          <w:i w:val="0"/>
          <w:color w:val="000000"/>
          <w:sz w:val="28"/>
          <w:szCs w:val="28"/>
        </w:rPr>
      </w:pPr>
      <w:r>
        <w:rPr>
          <w:rStyle w:val="a3"/>
          <w:color w:val="000000"/>
          <w:sz w:val="28"/>
          <w:szCs w:val="28"/>
        </w:rPr>
        <w:t>Шаг предварительной обработки и преобразования данных</w:t>
      </w:r>
    </w:p>
    <w:p w:rsidR="00172618" w:rsidRDefault="00172618" w:rsidP="00172618">
      <w:pPr>
        <w:pStyle w:val="2"/>
        <w:spacing w:after="0" w:line="240" w:lineRule="auto"/>
        <w:ind w:left="1069"/>
        <w:contextualSpacing/>
        <w:jc w:val="both"/>
        <w:rPr>
          <w:rStyle w:val="a3"/>
          <w:i w:val="0"/>
          <w:iCs w:val="0"/>
          <w:sz w:val="28"/>
          <w:szCs w:val="28"/>
        </w:rPr>
      </w:pPr>
      <w:r>
        <w:rPr>
          <w:rStyle w:val="a3"/>
          <w:color w:val="000000"/>
          <w:sz w:val="28"/>
          <w:szCs w:val="28"/>
        </w:rPr>
        <w:t>3. Шаг обучения модели на обучающей выборке</w:t>
      </w:r>
    </w:p>
    <w:p w:rsidR="00172618" w:rsidRDefault="00172618" w:rsidP="00172618">
      <w:pPr>
        <w:pStyle w:val="2"/>
        <w:spacing w:after="0" w:line="240" w:lineRule="auto"/>
        <w:contextualSpacing/>
        <w:jc w:val="both"/>
        <w:rPr>
          <w:rStyle w:val="a3"/>
          <w:color w:val="000000"/>
          <w:sz w:val="28"/>
          <w:szCs w:val="28"/>
        </w:rPr>
      </w:pPr>
      <w:r>
        <w:rPr>
          <w:rStyle w:val="a3"/>
          <w:color w:val="000000"/>
          <w:sz w:val="28"/>
          <w:szCs w:val="28"/>
        </w:rPr>
        <w:t xml:space="preserve">     4. Шаг валидации модели на тестовой выборке</w:t>
      </w:r>
    </w:p>
    <w:p w:rsidR="00172618" w:rsidRDefault="00172618" w:rsidP="00172618">
      <w:pPr>
        <w:pStyle w:val="2"/>
        <w:spacing w:after="0" w:line="240" w:lineRule="auto"/>
        <w:contextualSpacing/>
        <w:jc w:val="both"/>
        <w:rPr>
          <w:rFonts w:ascii="Times New Roman" w:hAnsi="Times New Roman" w:cs="Times New Roman"/>
        </w:rPr>
      </w:pPr>
      <w:r>
        <w:rPr>
          <w:rStyle w:val="a3"/>
          <w:color w:val="000000"/>
          <w:sz w:val="28"/>
          <w:szCs w:val="28"/>
        </w:rPr>
        <w:t xml:space="preserve">     5. Шаг представления результирующих предсказаний</w:t>
      </w:r>
    </w:p>
    <w:p w:rsidR="00172618" w:rsidRDefault="00172618" w:rsidP="00172618">
      <w:pPr>
        <w:ind w:firstLine="709"/>
        <w:jc w:val="both"/>
        <w:rPr>
          <w:rFonts w:ascii="Times New Roman" w:hAnsi="Times New Roman" w:cs="Times New Roman"/>
          <w:sz w:val="28"/>
          <w:szCs w:val="28"/>
        </w:rPr>
      </w:pPr>
    </w:p>
    <w:tbl>
      <w:tblPr>
        <w:tblW w:w="0" w:type="dxa"/>
        <w:tblCellSpacing w:w="0" w:type="dxa"/>
        <w:shd w:val="clear" w:color="auto" w:fill="FFFFFF"/>
        <w:tblLayout w:type="fixed"/>
        <w:tblCellMar>
          <w:left w:w="90" w:type="dxa"/>
          <w:bottom w:w="120" w:type="dxa"/>
          <w:right w:w="0" w:type="dxa"/>
        </w:tblCellMar>
        <w:tblLook w:val="04A0" w:firstRow="1" w:lastRow="0" w:firstColumn="1" w:lastColumn="0" w:noHBand="0" w:noVBand="1"/>
      </w:tblPr>
      <w:tblGrid>
        <w:gridCol w:w="9639"/>
      </w:tblGrid>
      <w:tr w:rsidR="00172618" w:rsidTr="00172618">
        <w:trPr>
          <w:tblCellSpacing w:w="0" w:type="dxa"/>
        </w:trPr>
        <w:tc>
          <w:tcPr>
            <w:tcW w:w="9639" w:type="dxa"/>
            <w:shd w:val="clear" w:color="auto" w:fill="FFFFFF"/>
            <w:hideMark/>
          </w:tcPr>
          <w:p w:rsidR="00172618" w:rsidRDefault="00172618">
            <w:pPr>
              <w:rPr>
                <w:rFonts w:ascii="Times New Roman" w:hAnsi="Times New Roman" w:cs="Times New Roman"/>
                <w:sz w:val="28"/>
                <w:szCs w:val="28"/>
              </w:rPr>
            </w:pPr>
          </w:p>
        </w:tc>
      </w:tr>
      <w:tr w:rsidR="00172618" w:rsidTr="00172618">
        <w:trPr>
          <w:tblCellSpacing w:w="0" w:type="dxa"/>
        </w:trPr>
        <w:tc>
          <w:tcPr>
            <w:tcW w:w="9639" w:type="dxa"/>
            <w:shd w:val="clear" w:color="auto" w:fill="FFFFFF"/>
            <w:hideMark/>
          </w:tcPr>
          <w:tbl>
            <w:tblPr>
              <w:tblW w:w="0" w:type="dxa"/>
              <w:tblCellSpacing w:w="0" w:type="dxa"/>
              <w:tblLayout w:type="fixed"/>
              <w:tblCellMar>
                <w:left w:w="0" w:type="dxa"/>
                <w:right w:w="0" w:type="dxa"/>
              </w:tblCellMar>
              <w:tblLook w:val="04A0" w:firstRow="1" w:lastRow="0" w:firstColumn="1" w:lastColumn="0" w:noHBand="0" w:noVBand="1"/>
            </w:tblPr>
            <w:tblGrid>
              <w:gridCol w:w="20"/>
            </w:tblGrid>
            <w:tr w:rsidR="00172618">
              <w:trPr>
                <w:tblCellSpacing w:w="0" w:type="dxa"/>
              </w:trPr>
              <w:tc>
                <w:tcPr>
                  <w:tcW w:w="15" w:type="dxa"/>
                  <w:hideMark/>
                </w:tcPr>
                <w:p w:rsidR="00172618" w:rsidRDefault="00172618">
                  <w:pPr>
                    <w:spacing w:after="0" w:line="240" w:lineRule="auto"/>
                    <w:rPr>
                      <w:rFonts w:ascii="Lucida Console" w:eastAsia="Times New Roman" w:hAnsi="Lucida Console" w:cs="Times New Roman"/>
                      <w:color w:val="0000FF"/>
                      <w:sz w:val="24"/>
                      <w:szCs w:val="24"/>
                      <w:lang w:eastAsia="ru-RU"/>
                    </w:rPr>
                  </w:pPr>
                  <w:r>
                    <w:rPr>
                      <w:rFonts w:ascii="Lucida Console" w:eastAsia="Times New Roman" w:hAnsi="Lucida Console" w:cs="Times New Roman"/>
                      <w:color w:val="0000FF"/>
                      <w:sz w:val="24"/>
                      <w:szCs w:val="24"/>
                      <w:lang w:eastAsia="ru-RU"/>
                    </w:rPr>
                    <w:t xml:space="preserve"> </w:t>
                  </w:r>
                </w:p>
              </w:tc>
            </w:tr>
          </w:tbl>
          <w:p w:rsidR="00172618" w:rsidRDefault="00172618"/>
        </w:tc>
      </w:tr>
    </w:tbl>
    <w:p w:rsidR="00172618" w:rsidRDefault="00172618" w:rsidP="00172618"/>
    <w:p w:rsidR="00172618" w:rsidRDefault="00172618" w:rsidP="00172618"/>
    <w:p w:rsidR="00172618" w:rsidRDefault="00172618" w:rsidP="00172618">
      <w:pPr>
        <w:ind w:firstLine="709"/>
        <w:jc w:val="both"/>
        <w:rPr>
          <w:rFonts w:ascii="Times New Roman" w:hAnsi="Times New Roman" w:cs="Times New Roman"/>
          <w:sz w:val="28"/>
          <w:szCs w:val="28"/>
        </w:rPr>
      </w:pPr>
      <w:r>
        <w:rPr>
          <w:rFonts w:ascii="Times New Roman" w:hAnsi="Times New Roman" w:cs="Times New Roman"/>
          <w:sz w:val="28"/>
          <w:szCs w:val="28"/>
        </w:rPr>
        <w:t>Модель может представлять интерес для представителей кредитных организаций, банков, бизнеса, управляющих компаний в части прогноза момента смены тренда по динамике цены актива на фондовом рынке.</w:t>
      </w:r>
    </w:p>
    <w:p w:rsidR="009B0DC2" w:rsidRPr="00304F8F" w:rsidRDefault="009B0DC2">
      <w:pPr>
        <w:rPr>
          <w:b/>
        </w:rPr>
      </w:pPr>
    </w:p>
    <w:sectPr w:rsidR="009B0DC2" w:rsidRPr="00304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93">
    <w:altName w:val="Calibri"/>
    <w:charset w:val="CC"/>
    <w:family w:val="auto"/>
    <w:pitch w:val="variable"/>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B27D5"/>
    <w:multiLevelType w:val="hybridMultilevel"/>
    <w:tmpl w:val="BC465326"/>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8F"/>
    <w:rsid w:val="00172618"/>
    <w:rsid w:val="00304F8F"/>
    <w:rsid w:val="00857DBE"/>
    <w:rsid w:val="009B0DC2"/>
    <w:rsid w:val="00E50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02361-29EB-46D1-A5FA-1CD18648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F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304F8F"/>
    <w:pPr>
      <w:suppressAutoHyphens/>
      <w:spacing w:line="256" w:lineRule="auto"/>
      <w:ind w:left="720"/>
    </w:pPr>
    <w:rPr>
      <w:rFonts w:ascii="Calibri" w:eastAsia="SimSun" w:hAnsi="Calibri" w:cs="font393"/>
      <w:lang w:eastAsia="ar-SA"/>
    </w:rPr>
  </w:style>
  <w:style w:type="character" w:styleId="a3">
    <w:name w:val="Emphasis"/>
    <w:basedOn w:val="a0"/>
    <w:uiPriority w:val="20"/>
    <w:qFormat/>
    <w:rsid w:val="00304F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8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4E307-3D95-49F5-9051-3D3BC36864F0}"/>
</file>

<file path=customXml/itemProps2.xml><?xml version="1.0" encoding="utf-8"?>
<ds:datastoreItem xmlns:ds="http://schemas.openxmlformats.org/officeDocument/2006/customXml" ds:itemID="{ABB81465-CC49-4F31-A295-45709F9E1D39}"/>
</file>

<file path=customXml/itemProps3.xml><?xml version="1.0" encoding="utf-8"?>
<ds:datastoreItem xmlns:ds="http://schemas.openxmlformats.org/officeDocument/2006/customXml" ds:itemID="{5F591242-6D5F-4F7A-B9E6-F502608CE574}"/>
</file>

<file path=docProps/app.xml><?xml version="1.0" encoding="utf-8"?>
<Properties xmlns="http://schemas.openxmlformats.org/officeDocument/2006/extended-properties" xmlns:vt="http://schemas.openxmlformats.org/officeDocument/2006/docPropsVTypes">
  <Template>Normal.dotm</Template>
  <TotalTime>4</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Программный продукт, реализующий алгоритмы предсказания будущих моментов смены состояний рынка, основанные на использовании сверточных нейронных сетей (рекламно-техническое описание)</dc:title>
  <dc:subject/>
  <dc:creator>sejros</dc:creator>
  <cp:keywords/>
  <dc:description/>
  <cp:lastModifiedBy>Белгородцев Виктор Петрович</cp:lastModifiedBy>
  <cp:revision>2</cp:revision>
  <dcterms:created xsi:type="dcterms:W3CDTF">2019-02-08T08:49:00Z</dcterms:created>
  <dcterms:modified xsi:type="dcterms:W3CDTF">2019-02-08T08:49:00Z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