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A6" w:rsidRDefault="00A164A6" w:rsidP="00A164A6">
      <w:pPr>
        <w:spacing w:line="276" w:lineRule="auto"/>
        <w:jc w:val="center"/>
      </w:pPr>
      <w:r w:rsidRPr="00213465">
        <w:t>Результат интеллектуальной деятельности</w:t>
      </w:r>
      <w:r w:rsidR="00851D9D">
        <w:t xml:space="preserve"> </w:t>
      </w:r>
    </w:p>
    <w:p w:rsidR="00851D9D" w:rsidRPr="00213465" w:rsidRDefault="00851D9D" w:rsidP="00A164A6">
      <w:pPr>
        <w:spacing w:line="276" w:lineRule="auto"/>
        <w:jc w:val="center"/>
      </w:pPr>
      <w:r>
        <w:t>в виде секрета производства (ноу-хау)</w:t>
      </w:r>
    </w:p>
    <w:p w:rsidR="00213465" w:rsidRPr="00801BD5" w:rsidRDefault="00213465" w:rsidP="00A164A6">
      <w:pPr>
        <w:spacing w:line="240" w:lineRule="auto"/>
        <w:jc w:val="center"/>
        <w:rPr>
          <w:b/>
          <w:bCs w:val="0"/>
          <w:caps/>
        </w:rPr>
      </w:pPr>
      <w:r w:rsidRPr="00801BD5">
        <w:rPr>
          <w:b/>
          <w:bCs w:val="0"/>
          <w:caps/>
        </w:rPr>
        <w:t xml:space="preserve">Рекомендации по управлению бюджетными рисками </w:t>
      </w:r>
    </w:p>
    <w:p w:rsidR="00213465" w:rsidRPr="00801BD5" w:rsidRDefault="00213465" w:rsidP="00A164A6">
      <w:pPr>
        <w:spacing w:line="240" w:lineRule="auto"/>
        <w:jc w:val="center"/>
        <w:rPr>
          <w:b/>
          <w:bCs w:val="0"/>
          <w:caps/>
        </w:rPr>
      </w:pPr>
      <w:proofErr w:type="gramStart"/>
      <w:r w:rsidRPr="00801BD5">
        <w:rPr>
          <w:b/>
          <w:bCs w:val="0"/>
          <w:caps/>
        </w:rPr>
        <w:t>в  Российской</w:t>
      </w:r>
      <w:proofErr w:type="gramEnd"/>
      <w:r w:rsidRPr="00801BD5">
        <w:rPr>
          <w:b/>
          <w:bCs w:val="0"/>
          <w:caps/>
        </w:rPr>
        <w:t xml:space="preserve"> Федерации на средне- и долгосрочную перспективу с учетом требований эффективного </w:t>
      </w:r>
    </w:p>
    <w:p w:rsidR="00213465" w:rsidRPr="00801BD5" w:rsidRDefault="00213465" w:rsidP="00A164A6">
      <w:pPr>
        <w:spacing w:line="240" w:lineRule="auto"/>
        <w:jc w:val="center"/>
        <w:rPr>
          <w:b/>
          <w:bCs w:val="0"/>
          <w:caps/>
        </w:rPr>
      </w:pPr>
      <w:r w:rsidRPr="00801BD5">
        <w:rPr>
          <w:b/>
          <w:bCs w:val="0"/>
          <w:caps/>
        </w:rPr>
        <w:t xml:space="preserve">и ответственного управления </w:t>
      </w:r>
    </w:p>
    <w:p w:rsidR="00213465" w:rsidRPr="00801BD5" w:rsidRDefault="00213465" w:rsidP="00A164A6">
      <w:pPr>
        <w:spacing w:line="240" w:lineRule="auto"/>
        <w:jc w:val="center"/>
        <w:rPr>
          <w:b/>
        </w:rPr>
      </w:pPr>
      <w:r w:rsidRPr="00801BD5">
        <w:rPr>
          <w:b/>
          <w:bCs w:val="0"/>
          <w:caps/>
        </w:rPr>
        <w:t>государственными финансами</w:t>
      </w:r>
      <w:r w:rsidRPr="00801BD5">
        <w:rPr>
          <w:b/>
        </w:rPr>
        <w:t xml:space="preserve"> </w:t>
      </w:r>
    </w:p>
    <w:p w:rsidR="00213465" w:rsidRPr="00213465" w:rsidRDefault="00213465" w:rsidP="00A164A6">
      <w:pPr>
        <w:spacing w:line="276" w:lineRule="auto"/>
        <w:jc w:val="center"/>
      </w:pPr>
    </w:p>
    <w:p w:rsidR="00A164A6" w:rsidRPr="00213465" w:rsidRDefault="00A164A6" w:rsidP="00A164A6">
      <w:pPr>
        <w:spacing w:line="276" w:lineRule="auto"/>
        <w:jc w:val="center"/>
      </w:pPr>
      <w:r w:rsidRPr="00213465">
        <w:t xml:space="preserve">разработан в </w:t>
      </w:r>
      <w:r w:rsidR="00CC4C42">
        <w:t>ходе</w:t>
      </w:r>
      <w:r w:rsidRPr="00213465">
        <w:t xml:space="preserve"> научно - исследовательской работы по теме:</w:t>
      </w:r>
    </w:p>
    <w:p w:rsidR="00315935" w:rsidRPr="00801BD5" w:rsidRDefault="00315935" w:rsidP="00315935">
      <w:pPr>
        <w:spacing w:line="276" w:lineRule="auto"/>
        <w:jc w:val="center"/>
        <w:rPr>
          <w:b/>
          <w:bCs w:val="0"/>
          <w:caps/>
        </w:rPr>
      </w:pPr>
      <w:r w:rsidRPr="00801BD5">
        <w:rPr>
          <w:b/>
          <w:bCs w:val="0"/>
          <w:caps/>
        </w:rPr>
        <w:t xml:space="preserve">Разработка методологических основ идентификации и </w:t>
      </w:r>
      <w:proofErr w:type="gramStart"/>
      <w:r w:rsidRPr="00801BD5">
        <w:rPr>
          <w:b/>
          <w:bCs w:val="0"/>
          <w:caps/>
        </w:rPr>
        <w:t>оценки  бюджетных</w:t>
      </w:r>
      <w:proofErr w:type="gramEnd"/>
      <w:r w:rsidRPr="00801BD5">
        <w:rPr>
          <w:b/>
          <w:bCs w:val="0"/>
          <w:caps/>
        </w:rPr>
        <w:t xml:space="preserve"> рисков </w:t>
      </w:r>
    </w:p>
    <w:p w:rsidR="00A164A6" w:rsidRPr="00213465" w:rsidRDefault="00A164A6" w:rsidP="00A164A6">
      <w:pPr>
        <w:spacing w:line="276" w:lineRule="auto"/>
        <w:jc w:val="center"/>
      </w:pPr>
      <w:r w:rsidRPr="00213465">
        <w:t>выполненной в рамках Государственного задания на 2017 год</w:t>
      </w:r>
    </w:p>
    <w:p w:rsidR="00A164A6" w:rsidRDefault="00A164A6" w:rsidP="00A164A6">
      <w:pPr>
        <w:spacing w:line="276" w:lineRule="auto"/>
      </w:pPr>
    </w:p>
    <w:p w:rsidR="00651A1E" w:rsidRPr="00213465" w:rsidRDefault="00651A1E" w:rsidP="00A164A6">
      <w:pPr>
        <w:spacing w:line="276" w:lineRule="auto"/>
      </w:pPr>
    </w:p>
    <w:p w:rsidR="00801BD5" w:rsidRDefault="00801BD5" w:rsidP="00A164A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2B444" wp14:editId="50FA7C54">
                <wp:simplePos x="0" y="0"/>
                <wp:positionH relativeFrom="column">
                  <wp:posOffset>3063240</wp:posOffset>
                </wp:positionH>
                <wp:positionV relativeFrom="paragraph">
                  <wp:posOffset>31115</wp:posOffset>
                </wp:positionV>
                <wp:extent cx="3143250" cy="35337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53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1BD5" w:rsidRDefault="00801BD5" w:rsidP="00801BD5">
                            <w:pPr>
                              <w:spacing w:line="276" w:lineRule="auto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lang w:eastAsia="zh-CN"/>
                              </w:rPr>
                              <w:t>Сведения об авторе:</w:t>
                            </w:r>
                          </w:p>
                          <w:p w:rsidR="00801BD5" w:rsidRDefault="00801BD5" w:rsidP="00801BD5">
                            <w:pPr>
                              <w:spacing w:line="276" w:lineRule="auto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801BD5" w:rsidRDefault="00801BD5" w:rsidP="00801BD5">
                            <w:pPr>
                              <w:spacing w:line="276" w:lineRule="auto"/>
                              <w:ind w:firstLine="709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Маркина Елена Валентиновна, доцент, кандидат эконом. наук, </w:t>
                            </w:r>
                            <w:r w:rsidR="00651A1E">
                              <w:rPr>
                                <w:rFonts w:eastAsia="SimSun"/>
                                <w:lang w:eastAsia="zh-CN"/>
                              </w:rPr>
                              <w:t>п</w:t>
                            </w:r>
                            <w:r w:rsidR="00651A1E" w:rsidRPr="00651A1E">
                              <w:rPr>
                                <w:rFonts w:eastAsia="SimSun"/>
                                <w:lang w:eastAsia="zh-CN"/>
                              </w:rPr>
                              <w:t>ервый проректор по учебной работе</w:t>
                            </w:r>
                            <w:r w:rsidR="00651A1E">
                              <w:rPr>
                                <w:rFonts w:eastAsia="SimSun"/>
                                <w:lang w:eastAsia="zh-CN"/>
                              </w:rPr>
                              <w:t xml:space="preserve"> Финансового университета при Правительстве РФ</w:t>
                            </w:r>
                          </w:p>
                          <w:p w:rsidR="00801BD5" w:rsidRDefault="00801BD5" w:rsidP="00801BD5">
                            <w:pPr>
                              <w:spacing w:line="276" w:lineRule="auto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801BD5" w:rsidRDefault="00801BD5" w:rsidP="00801BD5">
                            <w:pPr>
                              <w:spacing w:line="276" w:lineRule="auto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801BD5" w:rsidRDefault="00801BD5" w:rsidP="00801BD5">
                            <w:pPr>
                              <w:spacing w:line="276" w:lineRule="auto"/>
                              <w:ind w:firstLine="709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lang w:eastAsia="zh-CN"/>
                              </w:rPr>
                              <w:t>Контакты:</w:t>
                            </w:r>
                          </w:p>
                          <w:p w:rsidR="00801BD5" w:rsidRDefault="00801BD5" w:rsidP="00801BD5">
                            <w:pPr>
                              <w:spacing w:line="276" w:lineRule="auto"/>
                              <w:ind w:firstLine="709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801BD5">
                              <w:rPr>
                                <w:rFonts w:eastAsia="SimSun"/>
                                <w:lang w:eastAsia="zh-CN"/>
                              </w:rPr>
                              <w:t xml:space="preserve">Приемная 8(499)943-9323, </w:t>
                            </w:r>
                            <w:proofErr w:type="spellStart"/>
                            <w:r w:rsidRPr="00801BD5">
                              <w:rPr>
                                <w:rFonts w:eastAsia="SimSun"/>
                                <w:lang w:eastAsia="zh-CN"/>
                              </w:rPr>
                              <w:t>VNBerezovskaya</w:t>
                            </w:r>
                            <w:proofErr w:type="spellEnd"/>
                            <w:r w:rsidRPr="00801BD5">
                              <w:rPr>
                                <w:rFonts w:eastAsia="SimSun"/>
                                <w:lang w:eastAsia="zh-CN"/>
                              </w:rPr>
                              <w:t xml:space="preserve"> @fa.ru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2B44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1.2pt;margin-top:2.45pt;width:247.5pt;height:2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" filled="f" stroked="f">
                <v:textbox>
                  <w:txbxContent>
                    <w:p w:rsidR="00801BD5" w:rsidRDefault="00801BD5" w:rsidP="00801BD5">
                      <w:pPr>
                        <w:spacing w:line="276" w:lineRule="auto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eastAsia="SimSun"/>
                          <w:lang w:eastAsia="zh-CN"/>
                        </w:rPr>
                        <w:t>Сведения об авторе:</w:t>
                      </w:r>
                    </w:p>
                    <w:p w:rsidR="00801BD5" w:rsidRDefault="00801BD5" w:rsidP="00801BD5">
                      <w:pPr>
                        <w:spacing w:line="276" w:lineRule="auto"/>
                        <w:rPr>
                          <w:rFonts w:eastAsia="SimSun"/>
                          <w:lang w:eastAsia="zh-CN"/>
                        </w:rPr>
                      </w:pPr>
                    </w:p>
                    <w:p w:rsidR="00801BD5" w:rsidRDefault="00801BD5" w:rsidP="00801BD5">
                      <w:pPr>
                        <w:spacing w:line="276" w:lineRule="auto"/>
                        <w:ind w:firstLine="709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eastAsia="SimSun"/>
                          <w:lang w:eastAsia="zh-CN"/>
                        </w:rPr>
                        <w:t xml:space="preserve">Маркина Елена Валентиновна, доцент, кандидат эконом. наук, </w:t>
                      </w:r>
                      <w:r w:rsidR="00651A1E">
                        <w:rPr>
                          <w:rFonts w:eastAsia="SimSun"/>
                          <w:lang w:eastAsia="zh-CN"/>
                        </w:rPr>
                        <w:t>п</w:t>
                      </w:r>
                      <w:r w:rsidR="00651A1E" w:rsidRPr="00651A1E">
                        <w:rPr>
                          <w:rFonts w:eastAsia="SimSun"/>
                          <w:lang w:eastAsia="zh-CN"/>
                        </w:rPr>
                        <w:t>ервый проректор по учебной работе</w:t>
                      </w:r>
                      <w:r w:rsidR="00651A1E">
                        <w:rPr>
                          <w:rFonts w:eastAsia="SimSun"/>
                          <w:lang w:eastAsia="zh-CN"/>
                        </w:rPr>
                        <w:t xml:space="preserve"> Финансового университета при Правительстве РФ</w:t>
                      </w:r>
                    </w:p>
                    <w:p w:rsidR="00801BD5" w:rsidRDefault="00801BD5" w:rsidP="00801BD5">
                      <w:pPr>
                        <w:spacing w:line="276" w:lineRule="auto"/>
                        <w:rPr>
                          <w:rFonts w:eastAsia="SimSun"/>
                          <w:lang w:eastAsia="zh-CN"/>
                        </w:rPr>
                      </w:pPr>
                    </w:p>
                    <w:p w:rsidR="00801BD5" w:rsidRDefault="00801BD5" w:rsidP="00801BD5">
                      <w:pPr>
                        <w:spacing w:line="276" w:lineRule="auto"/>
                        <w:rPr>
                          <w:rFonts w:eastAsia="SimSun"/>
                          <w:lang w:eastAsia="zh-CN"/>
                        </w:rPr>
                      </w:pPr>
                    </w:p>
                    <w:p w:rsidR="00801BD5" w:rsidRDefault="00801BD5" w:rsidP="00801BD5">
                      <w:pPr>
                        <w:spacing w:line="276" w:lineRule="auto"/>
                        <w:ind w:firstLine="709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eastAsia="SimSun"/>
                          <w:lang w:eastAsia="zh-CN"/>
                        </w:rPr>
                        <w:t>Контакты:</w:t>
                      </w:r>
                    </w:p>
                    <w:p w:rsidR="00801BD5" w:rsidRDefault="00801BD5" w:rsidP="00801BD5">
                      <w:pPr>
                        <w:spacing w:line="276" w:lineRule="auto"/>
                        <w:ind w:firstLine="709"/>
                        <w:rPr>
                          <w:rFonts w:eastAsia="SimSun"/>
                          <w:lang w:eastAsia="zh-CN"/>
                        </w:rPr>
                      </w:pPr>
                      <w:r w:rsidRPr="00801BD5">
                        <w:rPr>
                          <w:rFonts w:eastAsia="SimSun"/>
                          <w:lang w:eastAsia="zh-CN"/>
                        </w:rPr>
                        <w:t xml:space="preserve">Приемная 8(499)943-9323, </w:t>
                      </w:r>
                      <w:proofErr w:type="spellStart"/>
                      <w:r w:rsidRPr="00801BD5">
                        <w:rPr>
                          <w:rFonts w:eastAsia="SimSun"/>
                          <w:lang w:eastAsia="zh-CN"/>
                        </w:rPr>
                        <w:t>VNBerezovskaya</w:t>
                      </w:r>
                      <w:proofErr w:type="spellEnd"/>
                      <w:r w:rsidRPr="00801BD5">
                        <w:rPr>
                          <w:rFonts w:eastAsia="SimSun"/>
                          <w:lang w:eastAsia="zh-CN"/>
                        </w:rPr>
                        <w:t xml:space="preserve"> @fa.ru</w:t>
                      </w:r>
                    </w:p>
                  </w:txbxContent>
                </v:textbox>
              </v:shape>
            </w:pict>
          </mc:Fallback>
        </mc:AlternateContent>
      </w:r>
      <w:r w:rsidRPr="00801BD5">
        <w:rPr>
          <w:noProof/>
        </w:rPr>
        <w:drawing>
          <wp:inline distT="0" distB="0" distL="0" distR="0">
            <wp:extent cx="2533650" cy="3571875"/>
            <wp:effectExtent l="0" t="0" r="0" b="9525"/>
            <wp:docPr id="1" name="Рисунок 1" descr="Картинки по запросу маркина елена валентин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аркина елена валентинов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4A6" w:rsidRPr="00213465" w:rsidRDefault="00A164A6" w:rsidP="00A164A6">
      <w:pPr>
        <w:spacing w:line="276" w:lineRule="auto"/>
        <w:jc w:val="right"/>
      </w:pPr>
    </w:p>
    <w:p w:rsidR="00A164A6" w:rsidRPr="00213465" w:rsidRDefault="00A164A6" w:rsidP="00A164A6">
      <w:pPr>
        <w:spacing w:line="276" w:lineRule="auto"/>
        <w:jc w:val="right"/>
      </w:pPr>
    </w:p>
    <w:p w:rsidR="00213465" w:rsidRPr="00213465" w:rsidRDefault="00213465" w:rsidP="00A164A6">
      <w:pPr>
        <w:spacing w:line="276" w:lineRule="auto"/>
        <w:jc w:val="right"/>
      </w:pPr>
    </w:p>
    <w:p w:rsidR="00CC4C42" w:rsidRDefault="00CC4C42" w:rsidP="00CC4C42">
      <w:pPr>
        <w:spacing w:line="259" w:lineRule="auto"/>
        <w:jc w:val="center"/>
      </w:pPr>
      <w:r>
        <w:t xml:space="preserve">РЕКЛАМНО-ТЕХНИЧЕСКОЕ </w:t>
      </w:r>
      <w:r w:rsidR="00A164A6" w:rsidRPr="00213465">
        <w:t xml:space="preserve">ОПИСАНИЕ </w:t>
      </w:r>
    </w:p>
    <w:p w:rsidR="00A164A6" w:rsidRPr="00213465" w:rsidRDefault="00A164A6" w:rsidP="00CC4C42">
      <w:pPr>
        <w:spacing w:line="259" w:lineRule="auto"/>
        <w:jc w:val="center"/>
      </w:pPr>
      <w:r w:rsidRPr="00213465">
        <w:t>РЕЗУЛЬТАТА ИНТЕЛЛЕКТУАЛЬНОЙ ДЕЯТЕЛЬНОСТИ</w:t>
      </w:r>
    </w:p>
    <w:p w:rsidR="00A164A6" w:rsidRPr="00213465" w:rsidRDefault="00A164A6" w:rsidP="00A164A6">
      <w:pPr>
        <w:ind w:firstLine="709"/>
      </w:pPr>
    </w:p>
    <w:p w:rsidR="00213465" w:rsidRPr="00213465" w:rsidRDefault="00213465" w:rsidP="00213465">
      <w:pPr>
        <w:tabs>
          <w:tab w:val="num" w:pos="360"/>
        </w:tabs>
        <w:ind w:firstLine="709"/>
      </w:pPr>
      <w:r w:rsidRPr="00213465">
        <w:t>Анализ основных положений кодексов, обобщающих лучшие практики управления общественными финансами, рекомендаций и докладов МВФ, ОЭСР свидетельствует, что для обеспечения устойчивости государственных финансов рекомендуется разрабатывать механизмы повышения адаптивности бюджетных планов и смягчения потенциального воздействия бюджетных рисков. В этой связи бюджетные риски, включая условные обязательства, должны быть четко идентифицированы, объяснены и классифицированы по типу рисков.</w:t>
      </w:r>
    </w:p>
    <w:p w:rsidR="00213465" w:rsidRPr="00CC4C42" w:rsidRDefault="00A164A6" w:rsidP="00213465">
      <w:pPr>
        <w:widowControl w:val="0"/>
        <w:autoSpaceDE w:val="0"/>
        <w:autoSpaceDN w:val="0"/>
        <w:adjustRightInd w:val="0"/>
        <w:ind w:firstLine="709"/>
        <w:rPr>
          <w:rFonts w:eastAsiaTheme="minorEastAsia"/>
        </w:rPr>
      </w:pPr>
      <w:r w:rsidRPr="00213465">
        <w:t xml:space="preserve">В работе </w:t>
      </w:r>
      <w:r w:rsidR="00213465" w:rsidRPr="00CC4C42">
        <w:rPr>
          <w:rFonts w:eastAsiaTheme="minorEastAsia"/>
        </w:rPr>
        <w:t xml:space="preserve">для идентификации бюджетных рисков предложен </w:t>
      </w:r>
      <w:proofErr w:type="spellStart"/>
      <w:r w:rsidR="00213465" w:rsidRPr="00CC4C42">
        <w:rPr>
          <w:rFonts w:eastAsiaTheme="minorEastAsia"/>
        </w:rPr>
        <w:t>следущий</w:t>
      </w:r>
      <w:proofErr w:type="spellEnd"/>
      <w:r w:rsidR="00213465" w:rsidRPr="00CC4C42">
        <w:rPr>
          <w:rFonts w:eastAsiaTheme="minorEastAsia"/>
        </w:rPr>
        <w:t xml:space="preserve"> алгоритм:</w:t>
      </w:r>
    </w:p>
    <w:p w:rsidR="00213465" w:rsidRPr="00213465" w:rsidRDefault="00213465" w:rsidP="00213465">
      <w:pPr>
        <w:widowControl w:val="0"/>
        <w:autoSpaceDE w:val="0"/>
        <w:autoSpaceDN w:val="0"/>
        <w:adjustRightInd w:val="0"/>
        <w:ind w:firstLine="709"/>
      </w:pPr>
      <w:r w:rsidRPr="00213465">
        <w:t>1) оценка состояния бюджета в базовом или текущем периоде</w:t>
      </w:r>
    </w:p>
    <w:p w:rsidR="00213465" w:rsidRPr="00213465" w:rsidRDefault="00213465" w:rsidP="00213465">
      <w:pPr>
        <w:widowControl w:val="0"/>
        <w:autoSpaceDE w:val="0"/>
        <w:autoSpaceDN w:val="0"/>
        <w:adjustRightInd w:val="0"/>
        <w:ind w:firstLine="709"/>
      </w:pPr>
      <w:r w:rsidRPr="00213465">
        <w:t>2) определение источников бюджетных рисков как набора макроэкономических шоков и условных обязательств</w:t>
      </w:r>
    </w:p>
    <w:p w:rsidR="00213465" w:rsidRPr="00213465" w:rsidRDefault="00213465" w:rsidP="00213465">
      <w:pPr>
        <w:widowControl w:val="0"/>
        <w:autoSpaceDE w:val="0"/>
        <w:autoSpaceDN w:val="0"/>
        <w:adjustRightInd w:val="0"/>
        <w:ind w:firstLine="709"/>
      </w:pPr>
      <w:r w:rsidRPr="00213465">
        <w:t>3) выявление и количественная оценка возможных последствий наступления шоков, реализации условных обязательств в кратко-, средне- и долгосрочной перспективах</w:t>
      </w:r>
    </w:p>
    <w:p w:rsidR="00213465" w:rsidRPr="00213465" w:rsidRDefault="00213465" w:rsidP="00213465">
      <w:pPr>
        <w:widowControl w:val="0"/>
        <w:autoSpaceDE w:val="0"/>
        <w:autoSpaceDN w:val="0"/>
        <w:adjustRightInd w:val="0"/>
        <w:ind w:firstLine="709"/>
      </w:pPr>
      <w:r w:rsidRPr="00213465">
        <w:t xml:space="preserve">4) оценка «запаса прочности», который должен быть у бюджета, </w:t>
      </w:r>
      <w:proofErr w:type="gramStart"/>
      <w:r w:rsidRPr="00213465">
        <w:t>чтобы  за</w:t>
      </w:r>
      <w:proofErr w:type="gramEnd"/>
      <w:r w:rsidRPr="00213465">
        <w:t xml:space="preserve"> счет временного увеличения государственного долга смягчить последствия шоков и реализации условных обязательств</w:t>
      </w:r>
    </w:p>
    <w:p w:rsidR="00213465" w:rsidRPr="00213465" w:rsidRDefault="00213465" w:rsidP="00213465">
      <w:pPr>
        <w:pStyle w:val="a5"/>
        <w:spacing w:before="0" w:beforeAutospacing="0" w:after="0" w:afterAutospacing="0"/>
        <w:ind w:firstLine="709"/>
        <w:rPr>
          <w:color w:val="auto"/>
        </w:rPr>
      </w:pPr>
      <w:r w:rsidRPr="00213465">
        <w:rPr>
          <w:color w:val="auto"/>
        </w:rPr>
        <w:t>5) формирование и актуализация параметров долгосрочного бюджетного прогноза.</w:t>
      </w:r>
    </w:p>
    <w:p w:rsidR="00031820" w:rsidRPr="00213465" w:rsidRDefault="00213465" w:rsidP="00213465">
      <w:pPr>
        <w:pStyle w:val="a5"/>
        <w:spacing w:before="0" w:beforeAutospacing="0" w:after="0" w:afterAutospacing="0"/>
        <w:ind w:firstLine="709"/>
        <w:rPr>
          <w:color w:val="auto"/>
        </w:rPr>
      </w:pPr>
      <w:r w:rsidRPr="00213465">
        <w:rPr>
          <w:color w:val="auto"/>
        </w:rPr>
        <w:t>В качестве ключевых инструментов управления рисками выделены: «потолки» (предельные лимиты) расходов; косвенный контроль партнеров из частного сектора; передача рисков, разделение рисков или их страхование; заведомое обеспечение потерь (резервы, стабилизационный фонд); фискальный стресс-тест (обзор и оценка взаимосвязи между отдельными рисками); а также разработка административной политики управления рисками, разделение ответственности и определение руководителей по риск-менеджменту.</w:t>
      </w:r>
    </w:p>
    <w:p w:rsidR="00213465" w:rsidRPr="00213465" w:rsidRDefault="00213465" w:rsidP="00213465">
      <w:pPr>
        <w:ind w:firstLine="709"/>
      </w:pPr>
      <w:r w:rsidRPr="00213465">
        <w:t>По результатам проведенного научного исследования к основным направлениям повышения эффективности управления бюджетными рисками в работе отнесено:</w:t>
      </w:r>
    </w:p>
    <w:p w:rsidR="00213465" w:rsidRPr="00213465" w:rsidRDefault="00213465" w:rsidP="00213465">
      <w:pPr>
        <w:ind w:firstLine="709"/>
      </w:pPr>
      <w:r w:rsidRPr="00213465">
        <w:t>1. Введение в практику бюджетного планирования и прогнозирования: реестра бюджетных рисков</w:t>
      </w:r>
      <w:r w:rsidR="00604D98">
        <w:t xml:space="preserve"> </w:t>
      </w:r>
      <w:proofErr w:type="gramStart"/>
      <w:r w:rsidR="00604D98">
        <w:t xml:space="preserve">и </w:t>
      </w:r>
      <w:r w:rsidRPr="00213465">
        <w:t xml:space="preserve"> карты</w:t>
      </w:r>
      <w:proofErr w:type="gramEnd"/>
      <w:r w:rsidRPr="00213465">
        <w:t xml:space="preserve"> бюджетных рисков</w:t>
      </w:r>
      <w:r w:rsidR="00604D98">
        <w:t>; в</w:t>
      </w:r>
      <w:r w:rsidRPr="00213465">
        <w:t>ключение реестра бюджетных рисков в единую систему классификаций бюджетного процесса.</w:t>
      </w:r>
    </w:p>
    <w:p w:rsidR="00213465" w:rsidRPr="00213465" w:rsidRDefault="00213465" w:rsidP="00213465">
      <w:pPr>
        <w:ind w:firstLine="709"/>
      </w:pPr>
      <w:r w:rsidRPr="00213465">
        <w:t>2. Переход к единой интегрированной системе бюджетного мониторинга, объединяющей мониторинг качества финансового менеджмента ГРБС и государственных учреждений, мониторинг реализации государственных программ, мониторинг исполнения государственных заданий, и интегрированной с механизмом казначейского сопровождения государственных контрактов (договоров, соглашений).</w:t>
      </w:r>
    </w:p>
    <w:p w:rsidR="00213465" w:rsidRPr="00213465" w:rsidRDefault="00213465" w:rsidP="00213465">
      <w:pPr>
        <w:pStyle w:val="a5"/>
        <w:spacing w:before="0" w:beforeAutospacing="0" w:after="0" w:afterAutospacing="0"/>
        <w:ind w:firstLine="709"/>
        <w:textAlignment w:val="baseline"/>
        <w:rPr>
          <w:color w:val="auto"/>
          <w:shd w:val="clear" w:color="auto" w:fill="FFFFFF"/>
        </w:rPr>
      </w:pPr>
      <w:r w:rsidRPr="00213465">
        <w:rPr>
          <w:color w:val="auto"/>
        </w:rPr>
        <w:t xml:space="preserve">3. Усиление контроля за равномерностью исполнения федерального бюджета по расходам посредством: повышения ответственности главных администраторов бюджетных средств за качество информации, представляемой в рамках формирования кассового плана, а также за необоснованное </w:t>
      </w:r>
      <w:proofErr w:type="spellStart"/>
      <w:r w:rsidRPr="00213465">
        <w:rPr>
          <w:color w:val="auto"/>
        </w:rPr>
        <w:t>неосвоение</w:t>
      </w:r>
      <w:proofErr w:type="spellEnd"/>
      <w:r w:rsidRPr="00213465">
        <w:rPr>
          <w:color w:val="auto"/>
        </w:rPr>
        <w:t xml:space="preserve"> бюджетных ассигнований; введения права на </w:t>
      </w:r>
      <w:r w:rsidRPr="00213465">
        <w:rPr>
          <w:color w:val="auto"/>
          <w:shd w:val="clear" w:color="auto" w:fill="FFFFFF"/>
        </w:rPr>
        <w:t xml:space="preserve">отзыв по итогам девяти месяцев финансового года лимитов бюджетных обязательств, по которым отсутствуют кассовые расходы и поставленные на учёт бюджетные обязательства. </w:t>
      </w:r>
    </w:p>
    <w:p w:rsidR="00213465" w:rsidRPr="00213465" w:rsidRDefault="00213465" w:rsidP="00213465">
      <w:pPr>
        <w:pStyle w:val="a5"/>
        <w:spacing w:before="0" w:beforeAutospacing="0" w:after="0" w:afterAutospacing="0"/>
        <w:ind w:firstLine="709"/>
        <w:textAlignment w:val="baseline"/>
        <w:rPr>
          <w:color w:val="auto"/>
        </w:rPr>
      </w:pPr>
      <w:r w:rsidRPr="00213465">
        <w:rPr>
          <w:color w:val="auto"/>
          <w:shd w:val="clear" w:color="auto" w:fill="FFFFFF"/>
        </w:rPr>
        <w:t xml:space="preserve">4. Расширение мер по </w:t>
      </w:r>
      <w:r w:rsidRPr="00213465">
        <w:rPr>
          <w:color w:val="auto"/>
        </w:rPr>
        <w:t xml:space="preserve">управлению дебиторской задолженностью по расходам бюджетов: снижение допускаемого уровня авансовых платежей, включение требований по допускаемому авансированию в Федеральный закон «О контрактной системе в сфере закупок товаров, работ, услуг для обеспечения государственных и муниципальных нужд»; нормативное закрепление требования по формированию обоснования бюджетных ассигнований с учетом планируемой дебиторской задолженности; заключение контрактов (договоров, соглашений) при условии обеспечения банковских гарантий и поэтапного перечисления авансовых платежей (при поэтапной поставке товаров); отказ от предоставления субсидий юридическим лицам (за исключением государственных учреждений), имеющим дебиторскую задолженность перед бюджетом. </w:t>
      </w:r>
    </w:p>
    <w:p w:rsidR="00213465" w:rsidRPr="00213465" w:rsidRDefault="00213465" w:rsidP="00213465">
      <w:pPr>
        <w:ind w:firstLine="709"/>
      </w:pPr>
      <w:r w:rsidRPr="00213465">
        <w:t>Проведенный анализ организационно-правовых и методических основ управления бюджетными рисками позволил разработать следующие рекомендации по их совершенствованию:</w:t>
      </w:r>
    </w:p>
    <w:p w:rsidR="00213465" w:rsidRPr="00213465" w:rsidRDefault="00213465" w:rsidP="00213465">
      <w:pPr>
        <w:ind w:firstLine="709"/>
      </w:pPr>
      <w:r w:rsidRPr="00213465">
        <w:t xml:space="preserve">√ На основе анализа, </w:t>
      </w:r>
      <w:proofErr w:type="gramStart"/>
      <w:r w:rsidRPr="00213465">
        <w:t>обобщения и систематизации</w:t>
      </w:r>
      <w:proofErr w:type="gramEnd"/>
      <w:r w:rsidRPr="00213465">
        <w:t xml:space="preserve"> имеющихся теоретических и методологических подходов к классификации бюджетных рисков представляется необходимой разработка классификатора бюджетных рисков, который может быть одобрен Минфином России и будет применяться в работе финансовых органов и органов государственного и муниципального финансового контроля. </w:t>
      </w:r>
    </w:p>
    <w:p w:rsidR="00213465" w:rsidRPr="00213465" w:rsidRDefault="00213465" w:rsidP="00213465">
      <w:pPr>
        <w:ind w:firstLine="709"/>
      </w:pPr>
      <w:r w:rsidRPr="00213465">
        <w:t>√ Для повышения качества управления бюджетами в нормативных правовых актах, регламентирующих полномочия финансовых органов, органов внешнего и внутреннего государственного и муниципального финансового контроля, главных администраторов и администраторов бюджетных средств, должны быть закреплены полномочия, касающиеся вопросов прогнозирования и управления бюджетными рисками, что будет предполагать обязательность осуществления соответствующих действий.</w:t>
      </w:r>
    </w:p>
    <w:p w:rsidR="00213465" w:rsidRPr="00213465" w:rsidRDefault="00213465" w:rsidP="00213465">
      <w:pPr>
        <w:ind w:firstLine="709"/>
      </w:pPr>
      <w:r w:rsidRPr="00213465">
        <w:t>√ Повышению качества бюджетного прогнозирования и управления бюджетными рисками будет способствовать разработка Минфином России соответствующих методических рекомендаций для органов государственной власти субъектов Российской Федерации и органов местного самоуправления муниципальных образований. В методических рекомендациях может быть предусмотрена в общем виде последовательность действий органов государственной власти субъектов Российской Федерации и органов местного самоуправления по управлению бюджетными рисками, которое должно осуществляться в процессе бюджетного планирования и прогнозирования, оперативного управления бюджетами и государственного и муниципального финансового контроля на разных этапах бюджетного процесса. Кроме того, методические рекомендации могут содержать подходы к оценке бюджетных рисков, методы оценки основных бюджетных рисков, порядок и условия их учета в рамках бюджетного процесса, а также меры по снижению бюджетных рисков.</w:t>
      </w:r>
    </w:p>
    <w:p w:rsidR="00213465" w:rsidRPr="00213465" w:rsidRDefault="00213465" w:rsidP="00213465">
      <w:pPr>
        <w:ind w:firstLine="709"/>
      </w:pPr>
      <w:r w:rsidRPr="00213465">
        <w:t xml:space="preserve">√ Представляемая субъектами Российской Федерации информация о бюджетных рисках недостаточна для обоснования их уровня и, в отдельных случаях, несопоставима. Ключевым отличием в применяемых субъектами методиках является </w:t>
      </w:r>
      <w:r w:rsidRPr="00213465">
        <w:rPr>
          <w:rFonts w:eastAsiaTheme="minorEastAsia"/>
        </w:rPr>
        <w:t>название оценочных шкал критерия «вероятность»</w:t>
      </w:r>
      <w:r w:rsidRPr="00213465">
        <w:t xml:space="preserve"> (см. таблицу 1)</w:t>
      </w:r>
      <w:r w:rsidRPr="00213465">
        <w:rPr>
          <w:rFonts w:eastAsiaTheme="minorEastAsia"/>
        </w:rPr>
        <w:t xml:space="preserve"> и </w:t>
      </w:r>
      <w:r w:rsidRPr="00213465">
        <w:t xml:space="preserve">разное количество причин риска. Это порождает несогласованность при интерпретации бюджетных рисков. </w:t>
      </w:r>
    </w:p>
    <w:p w:rsidR="00213465" w:rsidRPr="00213465" w:rsidRDefault="00213465" w:rsidP="00604D98">
      <w:pPr>
        <w:rPr>
          <w:rFonts w:eastAsiaTheme="minorEastAsia"/>
        </w:rPr>
      </w:pPr>
      <w:r w:rsidRPr="00213465">
        <w:rPr>
          <w:rFonts w:eastAsiaTheme="minorEastAsia"/>
        </w:rPr>
        <w:t>Таблица 1 – Сравнение методик оценки бюджетных рисков по критерию «Вероятность»</w:t>
      </w:r>
    </w:p>
    <w:tbl>
      <w:tblPr>
        <w:tblStyle w:val="ab"/>
        <w:tblW w:w="9420" w:type="dxa"/>
        <w:tblInd w:w="-30" w:type="dxa"/>
        <w:tblLook w:val="04A0" w:firstRow="1" w:lastRow="0" w:firstColumn="1" w:lastColumn="0" w:noHBand="0" w:noVBand="1"/>
      </w:tblPr>
      <w:tblGrid>
        <w:gridCol w:w="4141"/>
        <w:gridCol w:w="951"/>
        <w:gridCol w:w="1176"/>
        <w:gridCol w:w="1559"/>
        <w:gridCol w:w="1593"/>
      </w:tblGrid>
      <w:tr w:rsidR="00213465" w:rsidRPr="00213465" w:rsidTr="00213465">
        <w:tc>
          <w:tcPr>
            <w:tcW w:w="4141" w:type="dxa"/>
            <w:vMerge w:val="restart"/>
          </w:tcPr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Документ</w:t>
            </w:r>
          </w:p>
        </w:tc>
        <w:tc>
          <w:tcPr>
            <w:tcW w:w="3686" w:type="dxa"/>
            <w:gridSpan w:val="3"/>
          </w:tcPr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Критерий «Вероятность»</w:t>
            </w:r>
          </w:p>
        </w:tc>
        <w:tc>
          <w:tcPr>
            <w:tcW w:w="1593" w:type="dxa"/>
          </w:tcPr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Критерий «Последствия»</w:t>
            </w:r>
          </w:p>
        </w:tc>
      </w:tr>
      <w:tr w:rsidR="00213465" w:rsidRPr="00213465" w:rsidTr="00213465">
        <w:tc>
          <w:tcPr>
            <w:tcW w:w="4141" w:type="dxa"/>
            <w:vMerge/>
          </w:tcPr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0-20%</w:t>
            </w:r>
          </w:p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20-40%</w:t>
            </w:r>
          </w:p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40-60%</w:t>
            </w:r>
          </w:p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60-80%</w:t>
            </w:r>
          </w:p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80-100%</w:t>
            </w:r>
          </w:p>
        </w:tc>
        <w:tc>
          <w:tcPr>
            <w:tcW w:w="1176" w:type="dxa"/>
          </w:tcPr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низкий</w:t>
            </w:r>
          </w:p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 xml:space="preserve">умеренный </w:t>
            </w:r>
          </w:p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высокий</w:t>
            </w:r>
          </w:p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очень высокий</w:t>
            </w:r>
          </w:p>
        </w:tc>
        <w:tc>
          <w:tcPr>
            <w:tcW w:w="1559" w:type="dxa"/>
          </w:tcPr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невероятный</w:t>
            </w:r>
          </w:p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маловероятный</w:t>
            </w:r>
          </w:p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средний</w:t>
            </w:r>
          </w:p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вероятный</w:t>
            </w:r>
          </w:p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ожидаемый</w:t>
            </w:r>
          </w:p>
        </w:tc>
        <w:tc>
          <w:tcPr>
            <w:tcW w:w="1593" w:type="dxa"/>
          </w:tcPr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низкий</w:t>
            </w:r>
          </w:p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умеренный</w:t>
            </w:r>
          </w:p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высокий</w:t>
            </w:r>
          </w:p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очень высокий</w:t>
            </w:r>
          </w:p>
        </w:tc>
      </w:tr>
      <w:tr w:rsidR="00213465" w:rsidRPr="00213465" w:rsidTr="00213465">
        <w:trPr>
          <w:trHeight w:val="316"/>
        </w:trPr>
        <w:tc>
          <w:tcPr>
            <w:tcW w:w="4141" w:type="dxa"/>
          </w:tcPr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Приказ Минфина России №356</w:t>
            </w:r>
          </w:p>
        </w:tc>
        <w:tc>
          <w:tcPr>
            <w:tcW w:w="951" w:type="dxa"/>
          </w:tcPr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+</w:t>
            </w:r>
          </w:p>
        </w:tc>
        <w:tc>
          <w:tcPr>
            <w:tcW w:w="1176" w:type="dxa"/>
          </w:tcPr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213465" w:rsidRPr="00213465" w:rsidRDefault="00213465" w:rsidP="00213465">
            <w:pPr>
              <w:spacing w:line="240" w:lineRule="auto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+</w:t>
            </w:r>
          </w:p>
        </w:tc>
      </w:tr>
      <w:tr w:rsidR="00213465" w:rsidRPr="00213465" w:rsidTr="00213465">
        <w:trPr>
          <w:trHeight w:val="393"/>
        </w:trPr>
        <w:tc>
          <w:tcPr>
            <w:tcW w:w="4141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Постановление Правительства Ростовской области №889</w:t>
            </w:r>
          </w:p>
        </w:tc>
        <w:tc>
          <w:tcPr>
            <w:tcW w:w="951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+</w:t>
            </w:r>
          </w:p>
        </w:tc>
      </w:tr>
      <w:tr w:rsidR="00213465" w:rsidRPr="00213465" w:rsidTr="00213465">
        <w:tc>
          <w:tcPr>
            <w:tcW w:w="4141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Приказ Министерства Труда и социального развития Республики Адыгея №41</w:t>
            </w:r>
          </w:p>
        </w:tc>
        <w:tc>
          <w:tcPr>
            <w:tcW w:w="951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+</w:t>
            </w:r>
          </w:p>
        </w:tc>
        <w:tc>
          <w:tcPr>
            <w:tcW w:w="1176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+</w:t>
            </w:r>
          </w:p>
        </w:tc>
        <w:tc>
          <w:tcPr>
            <w:tcW w:w="1593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+</w:t>
            </w:r>
          </w:p>
        </w:tc>
      </w:tr>
      <w:tr w:rsidR="00213465" w:rsidRPr="00213465" w:rsidTr="00213465">
        <w:tc>
          <w:tcPr>
            <w:tcW w:w="4141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Приказ Комитета государственного финансового контроля Ленинградской области №10</w:t>
            </w:r>
          </w:p>
        </w:tc>
        <w:tc>
          <w:tcPr>
            <w:tcW w:w="951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+</w:t>
            </w:r>
          </w:p>
        </w:tc>
        <w:tc>
          <w:tcPr>
            <w:tcW w:w="1176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+</w:t>
            </w:r>
          </w:p>
        </w:tc>
        <w:tc>
          <w:tcPr>
            <w:tcW w:w="1593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+</w:t>
            </w:r>
          </w:p>
        </w:tc>
      </w:tr>
      <w:tr w:rsidR="00213465" w:rsidRPr="00213465" w:rsidTr="00213465">
        <w:trPr>
          <w:trHeight w:val="239"/>
        </w:trPr>
        <w:tc>
          <w:tcPr>
            <w:tcW w:w="4141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Приказ Министерства финансов Рязанской области №269</w:t>
            </w:r>
          </w:p>
        </w:tc>
        <w:tc>
          <w:tcPr>
            <w:tcW w:w="951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+</w:t>
            </w:r>
          </w:p>
        </w:tc>
        <w:tc>
          <w:tcPr>
            <w:tcW w:w="1176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+</w:t>
            </w:r>
          </w:p>
        </w:tc>
      </w:tr>
    </w:tbl>
    <w:p w:rsidR="00604D98" w:rsidRDefault="00604D98" w:rsidP="00213465">
      <w:pPr>
        <w:ind w:firstLine="709"/>
      </w:pPr>
    </w:p>
    <w:p w:rsidR="00213465" w:rsidRPr="00213465" w:rsidRDefault="00213465" w:rsidP="00213465">
      <w:pPr>
        <w:ind w:firstLine="709"/>
      </w:pPr>
      <w:r w:rsidRPr="00213465">
        <w:t>В связи со сложившейся практикой оценки и идентификации бюджетных рисков предлагается конкретизация и дополнение отдельных критериев оценки, сформулированных на основе выявления противоречий в оценочных показателях, применяемых субъектами Российской Федерации, в частности</w:t>
      </w:r>
      <w:r w:rsidRPr="00213465">
        <w:rPr>
          <w:rStyle w:val="a9"/>
        </w:rPr>
        <w:footnoteReference w:id="1"/>
      </w:r>
      <w:r w:rsidRPr="00213465">
        <w:t>:</w:t>
      </w:r>
    </w:p>
    <w:p w:rsidR="00213465" w:rsidRPr="00213465" w:rsidRDefault="00213465" w:rsidP="00213465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65">
        <w:rPr>
          <w:rFonts w:ascii="Times New Roman" w:hAnsi="Times New Roman" w:cs="Times New Roman"/>
          <w:sz w:val="28"/>
          <w:szCs w:val="28"/>
        </w:rPr>
        <w:t>уточнить положения Приказа Минфина России №</w:t>
      </w:r>
      <w:r w:rsidR="00604D98">
        <w:rPr>
          <w:rFonts w:ascii="Times New Roman" w:hAnsi="Times New Roman" w:cs="Times New Roman"/>
          <w:sz w:val="28"/>
          <w:szCs w:val="28"/>
        </w:rPr>
        <w:t xml:space="preserve"> </w:t>
      </w:r>
      <w:r w:rsidRPr="00213465">
        <w:rPr>
          <w:rFonts w:ascii="Times New Roman" w:hAnsi="Times New Roman" w:cs="Times New Roman"/>
          <w:sz w:val="28"/>
          <w:szCs w:val="28"/>
        </w:rPr>
        <w:t>356 в части конкретизации уровня бюджетного риска по критерию «Вероятность» (см. таблицу 2).</w:t>
      </w:r>
    </w:p>
    <w:p w:rsidR="00213465" w:rsidRPr="00213465" w:rsidRDefault="00213465" w:rsidP="00213465">
      <w:r w:rsidRPr="00213465">
        <w:t>Таблица 2 – Предложения по уточнению п. 30 Приказа Минфина России №</w:t>
      </w:r>
      <w:r w:rsidR="00604D98">
        <w:t xml:space="preserve"> </w:t>
      </w:r>
      <w:r w:rsidRPr="00213465">
        <w:t>356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67"/>
        <w:gridCol w:w="4672"/>
      </w:tblGrid>
      <w:tr w:rsidR="00213465" w:rsidRPr="00213465" w:rsidTr="00213465">
        <w:trPr>
          <w:trHeight w:val="351"/>
        </w:trPr>
        <w:tc>
          <w:tcPr>
            <w:tcW w:w="4667" w:type="dxa"/>
          </w:tcPr>
          <w:p w:rsidR="00213465" w:rsidRPr="00213465" w:rsidRDefault="00213465" w:rsidP="00213465">
            <w:pPr>
              <w:jc w:val="center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Действующая редакция</w:t>
            </w:r>
          </w:p>
        </w:tc>
        <w:tc>
          <w:tcPr>
            <w:tcW w:w="4672" w:type="dxa"/>
          </w:tcPr>
          <w:p w:rsidR="00213465" w:rsidRPr="00213465" w:rsidRDefault="00213465" w:rsidP="00213465">
            <w:pPr>
              <w:jc w:val="center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Предлагаемые изменения</w:t>
            </w:r>
          </w:p>
        </w:tc>
      </w:tr>
      <w:tr w:rsidR="00213465" w:rsidRPr="00213465" w:rsidTr="00213465">
        <w:trPr>
          <w:trHeight w:val="1148"/>
        </w:trPr>
        <w:tc>
          <w:tcPr>
            <w:tcW w:w="4667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Каждый бюджетный риск…</w:t>
            </w:r>
          </w:p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уровень по критерию «вероятность» - от 0 до 20%, от 20 до 40%, от 40 до 60%, от 60 до 80%, от 80 до 100%.</w:t>
            </w:r>
          </w:p>
        </w:tc>
        <w:tc>
          <w:tcPr>
            <w:tcW w:w="4672" w:type="dxa"/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Каждый бюджетный риск…</w:t>
            </w:r>
          </w:p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уровень по критерию «вероятность» - от 0 до 20% - невероятный, от 20 до 40% - маловероятный, от 40 до 60% - средний, от 60 до 80% - вероятный, от 80 до 100% - ожидаемый.</w:t>
            </w:r>
          </w:p>
        </w:tc>
      </w:tr>
    </w:tbl>
    <w:p w:rsidR="00213465" w:rsidRPr="00213465" w:rsidRDefault="00213465" w:rsidP="00213465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65">
        <w:rPr>
          <w:rFonts w:ascii="Times New Roman" w:hAnsi="Times New Roman" w:cs="Times New Roman"/>
          <w:sz w:val="28"/>
          <w:szCs w:val="28"/>
        </w:rPr>
        <w:t xml:space="preserve">дополнить п. 30 Приказа </w:t>
      </w:r>
      <w:r w:rsidRPr="00213465">
        <w:rPr>
          <w:rFonts w:ascii="Times New Roman" w:eastAsiaTheme="minorEastAsia" w:hAnsi="Times New Roman" w:cs="Times New Roman"/>
          <w:sz w:val="28"/>
          <w:szCs w:val="28"/>
        </w:rPr>
        <w:t>шкалой оценки по критерию «Последствия». Соответствующие изменения внести в п. 32. Приказа Минфина России №356 «Матрица оценки бюджетного риска».</w:t>
      </w:r>
    </w:p>
    <w:p w:rsidR="00213465" w:rsidRPr="00213465" w:rsidRDefault="00213465" w:rsidP="00213465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65">
        <w:rPr>
          <w:rFonts w:ascii="Times New Roman" w:eastAsiaTheme="minorEastAsia" w:hAnsi="Times New Roman" w:cs="Times New Roman"/>
          <w:sz w:val="28"/>
          <w:szCs w:val="28"/>
        </w:rPr>
        <w:t>утвердить форму отчёта об уровне бюджетных рисков субъектов Российской Федерации в виде таблицы 3.</w:t>
      </w:r>
    </w:p>
    <w:p w:rsidR="00213465" w:rsidRPr="00213465" w:rsidRDefault="00213465" w:rsidP="00213465">
      <w:r w:rsidRPr="00213465">
        <w:t>Таблица 3 – Рекомендуемая форма предоставления отчета оценки бюджетных рисков субъектами Российской Федерации</w:t>
      </w:r>
    </w:p>
    <w:tbl>
      <w:tblPr>
        <w:tblW w:w="10311" w:type="dxa"/>
        <w:tblInd w:w="-58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1134"/>
        <w:gridCol w:w="1276"/>
        <w:gridCol w:w="1134"/>
        <w:gridCol w:w="1133"/>
        <w:gridCol w:w="1134"/>
        <w:gridCol w:w="1135"/>
        <w:gridCol w:w="1276"/>
        <w:gridCol w:w="1135"/>
      </w:tblGrid>
      <w:tr w:rsidR="00213465" w:rsidRPr="00213465" w:rsidTr="00213465">
        <w:tc>
          <w:tcPr>
            <w:tcW w:w="954" w:type="dxa"/>
            <w:vMerge w:val="restart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Бюджетная процедура 1</w:t>
            </w:r>
          </w:p>
        </w:tc>
        <w:tc>
          <w:tcPr>
            <w:tcW w:w="1134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Наименование риска 1</w:t>
            </w:r>
          </w:p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Причина риска 1</w:t>
            </w:r>
          </w:p>
        </w:tc>
        <w:tc>
          <w:tcPr>
            <w:tcW w:w="1134" w:type="dxa"/>
            <w:vMerge w:val="restart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Формула расчета вероятности наступления риска</w:t>
            </w:r>
          </w:p>
        </w:tc>
        <w:tc>
          <w:tcPr>
            <w:tcW w:w="1133" w:type="dxa"/>
            <w:vMerge w:val="restart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Значение риска по критерию «вероятность»</w:t>
            </w:r>
          </w:p>
        </w:tc>
        <w:tc>
          <w:tcPr>
            <w:tcW w:w="1134" w:type="dxa"/>
            <w:vMerge w:val="restart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Уровень риска по критерию «вероятность»</w:t>
            </w:r>
          </w:p>
        </w:tc>
        <w:tc>
          <w:tcPr>
            <w:tcW w:w="1135" w:type="dxa"/>
            <w:vMerge w:val="restart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Формула расчета последствий от наступления риска</w:t>
            </w:r>
          </w:p>
        </w:tc>
        <w:tc>
          <w:tcPr>
            <w:tcW w:w="1276" w:type="dxa"/>
            <w:vMerge w:val="restart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Значение риска по критерию «последствия»</w:t>
            </w:r>
          </w:p>
        </w:tc>
        <w:tc>
          <w:tcPr>
            <w:tcW w:w="1135" w:type="dxa"/>
            <w:vMerge w:val="restart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 xml:space="preserve">Уровень риска по критерию «последствия» </w:t>
            </w:r>
          </w:p>
        </w:tc>
      </w:tr>
      <w:tr w:rsidR="00213465" w:rsidRPr="00213465" w:rsidTr="00213465">
        <w:tblPrEx>
          <w:tblBorders>
            <w:top w:val="none" w:sz="0" w:space="0" w:color="auto"/>
          </w:tblBorders>
        </w:tblPrEx>
        <w:tc>
          <w:tcPr>
            <w:tcW w:w="954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C8D6EB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C8D6EB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…</w:t>
            </w:r>
          </w:p>
        </w:tc>
        <w:tc>
          <w:tcPr>
            <w:tcW w:w="1134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</w:tr>
      <w:tr w:rsidR="00213465" w:rsidRPr="00213465" w:rsidTr="00213465">
        <w:tblPrEx>
          <w:tblBorders>
            <w:top w:val="none" w:sz="0" w:space="0" w:color="auto"/>
          </w:tblBorders>
        </w:tblPrEx>
        <w:tc>
          <w:tcPr>
            <w:tcW w:w="954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Наименование риска n</w:t>
            </w:r>
          </w:p>
        </w:tc>
        <w:tc>
          <w:tcPr>
            <w:tcW w:w="1276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Причина риска n</w:t>
            </w:r>
          </w:p>
        </w:tc>
        <w:tc>
          <w:tcPr>
            <w:tcW w:w="1134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</w:tr>
      <w:tr w:rsidR="00213465" w:rsidRPr="00213465" w:rsidTr="00213465">
        <w:tblPrEx>
          <w:tblBorders>
            <w:top w:val="none" w:sz="0" w:space="0" w:color="auto"/>
          </w:tblBorders>
        </w:tblPrEx>
        <w:tc>
          <w:tcPr>
            <w:tcW w:w="954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C8D6EB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C8D6EB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C8D6EB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C8D6EB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…</w:t>
            </w:r>
          </w:p>
        </w:tc>
        <w:tc>
          <w:tcPr>
            <w:tcW w:w="1133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C8D6EB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C8D6EB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…</w:t>
            </w:r>
          </w:p>
        </w:tc>
        <w:tc>
          <w:tcPr>
            <w:tcW w:w="1135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C8D6EB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C8D6EB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…</w:t>
            </w:r>
          </w:p>
        </w:tc>
        <w:tc>
          <w:tcPr>
            <w:tcW w:w="1135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C8D6EB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…</w:t>
            </w:r>
          </w:p>
        </w:tc>
      </w:tr>
      <w:tr w:rsidR="00213465" w:rsidRPr="00213465" w:rsidTr="00213465">
        <w:tblPrEx>
          <w:tblBorders>
            <w:top w:val="none" w:sz="0" w:space="0" w:color="auto"/>
          </w:tblBorders>
        </w:tblPrEx>
        <w:tc>
          <w:tcPr>
            <w:tcW w:w="954" w:type="dxa"/>
            <w:vMerge w:val="restart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Бюджетная процедура n</w:t>
            </w:r>
          </w:p>
        </w:tc>
        <w:tc>
          <w:tcPr>
            <w:tcW w:w="1134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Наименование риска 1</w:t>
            </w:r>
          </w:p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Причина риска 1</w:t>
            </w:r>
          </w:p>
        </w:tc>
        <w:tc>
          <w:tcPr>
            <w:tcW w:w="1134" w:type="dxa"/>
            <w:vMerge w:val="restart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Формула расчета вероятности наступления риска</w:t>
            </w:r>
          </w:p>
        </w:tc>
        <w:tc>
          <w:tcPr>
            <w:tcW w:w="1133" w:type="dxa"/>
            <w:vMerge w:val="restart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Значение риска по критерию «вероятность»</w:t>
            </w:r>
          </w:p>
        </w:tc>
        <w:tc>
          <w:tcPr>
            <w:tcW w:w="1134" w:type="dxa"/>
            <w:vMerge w:val="restart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Уровень риска по критерию «вероятность»</w:t>
            </w:r>
          </w:p>
        </w:tc>
        <w:tc>
          <w:tcPr>
            <w:tcW w:w="1135" w:type="dxa"/>
            <w:vMerge w:val="restart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Формула расчета последствий от наступления риска</w:t>
            </w:r>
          </w:p>
        </w:tc>
        <w:tc>
          <w:tcPr>
            <w:tcW w:w="1276" w:type="dxa"/>
            <w:vMerge w:val="restart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Значение риска по критерию «последствия»</w:t>
            </w:r>
          </w:p>
        </w:tc>
        <w:tc>
          <w:tcPr>
            <w:tcW w:w="1135" w:type="dxa"/>
            <w:vMerge w:val="restart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 xml:space="preserve">Уровень риска по критерию «последствия» </w:t>
            </w:r>
          </w:p>
        </w:tc>
      </w:tr>
      <w:tr w:rsidR="00213465" w:rsidRPr="00213465" w:rsidTr="00213465">
        <w:tblPrEx>
          <w:tblBorders>
            <w:top w:val="none" w:sz="0" w:space="0" w:color="auto"/>
          </w:tblBorders>
        </w:tblPrEx>
        <w:tc>
          <w:tcPr>
            <w:tcW w:w="954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C8D6EB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C8D6EB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…</w:t>
            </w:r>
          </w:p>
        </w:tc>
        <w:tc>
          <w:tcPr>
            <w:tcW w:w="1134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</w:tr>
      <w:tr w:rsidR="00213465" w:rsidRPr="00213465" w:rsidTr="00213465">
        <w:tc>
          <w:tcPr>
            <w:tcW w:w="954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Наименование риска n</w:t>
            </w:r>
          </w:p>
        </w:tc>
        <w:tc>
          <w:tcPr>
            <w:tcW w:w="1276" w:type="dxa"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rPr>
                <w:sz w:val="20"/>
                <w:szCs w:val="20"/>
              </w:rPr>
            </w:pPr>
            <w:r w:rsidRPr="00213465">
              <w:rPr>
                <w:sz w:val="20"/>
                <w:szCs w:val="20"/>
              </w:rPr>
              <w:t>Причина риска n</w:t>
            </w:r>
          </w:p>
        </w:tc>
        <w:tc>
          <w:tcPr>
            <w:tcW w:w="1134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4B88CB"/>
              <w:left w:val="single" w:sz="8" w:space="0" w:color="4B88CB"/>
              <w:bottom w:val="single" w:sz="8" w:space="0" w:color="4B88CB"/>
              <w:right w:val="single" w:sz="8" w:space="0" w:color="4B88CB"/>
            </w:tcBorders>
            <w:shd w:val="clear" w:color="auto" w:fill="E5EBF5"/>
            <w:tcMar>
              <w:top w:w="144" w:type="nil"/>
              <w:left w:w="20" w:type="nil"/>
              <w:right w:w="144" w:type="nil"/>
            </w:tcMar>
          </w:tcPr>
          <w:p w:rsidR="00213465" w:rsidRPr="00213465" w:rsidRDefault="00213465" w:rsidP="00213465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213465" w:rsidRPr="00213465" w:rsidRDefault="00213465" w:rsidP="00213465">
      <w:pPr>
        <w:pStyle w:val="a5"/>
        <w:spacing w:before="0" w:beforeAutospacing="0" w:after="0" w:afterAutospacing="0"/>
        <w:ind w:firstLine="709"/>
        <w:rPr>
          <w:color w:val="auto"/>
        </w:rPr>
      </w:pPr>
    </w:p>
    <w:sectPr w:rsidR="00213465" w:rsidRPr="00213465" w:rsidSect="0021346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0D" w:rsidRDefault="0076760D" w:rsidP="00213465">
      <w:pPr>
        <w:spacing w:line="240" w:lineRule="auto"/>
      </w:pPr>
      <w:r>
        <w:separator/>
      </w:r>
    </w:p>
  </w:endnote>
  <w:endnote w:type="continuationSeparator" w:id="0">
    <w:p w:rsidR="0076760D" w:rsidRDefault="0076760D" w:rsidP="00213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465" w:rsidRDefault="00213465" w:rsidP="0021346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3465" w:rsidRDefault="0021346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465" w:rsidRPr="0076019D" w:rsidRDefault="00213465" w:rsidP="00213465">
    <w:pPr>
      <w:pStyle w:val="a3"/>
      <w:framePr w:wrap="around" w:vAnchor="text" w:hAnchor="margin" w:xAlign="center" w:y="1"/>
      <w:rPr>
        <w:rStyle w:val="a6"/>
        <w:sz w:val="22"/>
        <w:szCs w:val="22"/>
      </w:rPr>
    </w:pPr>
    <w:r w:rsidRPr="0076019D">
      <w:rPr>
        <w:rStyle w:val="a6"/>
        <w:sz w:val="22"/>
        <w:szCs w:val="22"/>
      </w:rPr>
      <w:fldChar w:fldCharType="begin"/>
    </w:r>
    <w:r w:rsidRPr="0076019D">
      <w:rPr>
        <w:rStyle w:val="a6"/>
        <w:sz w:val="22"/>
        <w:szCs w:val="22"/>
      </w:rPr>
      <w:instrText xml:space="preserve">PAGE  </w:instrText>
    </w:r>
    <w:r w:rsidRPr="0076019D">
      <w:rPr>
        <w:rStyle w:val="a6"/>
        <w:sz w:val="22"/>
        <w:szCs w:val="22"/>
      </w:rPr>
      <w:fldChar w:fldCharType="separate"/>
    </w:r>
    <w:r w:rsidR="00847537">
      <w:rPr>
        <w:rStyle w:val="a6"/>
        <w:noProof/>
        <w:sz w:val="22"/>
        <w:szCs w:val="22"/>
      </w:rPr>
      <w:t>6</w:t>
    </w:r>
    <w:r w:rsidRPr="0076019D">
      <w:rPr>
        <w:rStyle w:val="a6"/>
        <w:sz w:val="22"/>
        <w:szCs w:val="22"/>
      </w:rPr>
      <w:fldChar w:fldCharType="end"/>
    </w:r>
  </w:p>
  <w:p w:rsidR="00213465" w:rsidRDefault="002134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0D" w:rsidRDefault="0076760D" w:rsidP="00213465">
      <w:pPr>
        <w:spacing w:line="240" w:lineRule="auto"/>
      </w:pPr>
      <w:r>
        <w:separator/>
      </w:r>
    </w:p>
  </w:footnote>
  <w:footnote w:type="continuationSeparator" w:id="0">
    <w:p w:rsidR="0076760D" w:rsidRDefault="0076760D" w:rsidP="00213465">
      <w:pPr>
        <w:spacing w:line="240" w:lineRule="auto"/>
      </w:pPr>
      <w:r>
        <w:continuationSeparator/>
      </w:r>
    </w:p>
  </w:footnote>
  <w:footnote w:id="1">
    <w:p w:rsidR="00213465" w:rsidRPr="00123055" w:rsidRDefault="00213465" w:rsidP="00213465">
      <w:pPr>
        <w:spacing w:line="240" w:lineRule="auto"/>
        <w:rPr>
          <w:sz w:val="20"/>
          <w:szCs w:val="20"/>
        </w:rPr>
      </w:pPr>
      <w:r w:rsidRPr="00123055">
        <w:rPr>
          <w:rStyle w:val="a9"/>
          <w:sz w:val="20"/>
          <w:szCs w:val="20"/>
        </w:rPr>
        <w:footnoteRef/>
      </w:r>
      <w:r w:rsidRPr="00123055">
        <w:rPr>
          <w:sz w:val="20"/>
          <w:szCs w:val="20"/>
        </w:rPr>
        <w:t xml:space="preserve"> Представленные предложения относятся только к бюджетным рискам, оцениваемым в результате проведения внутреннего финансового контроля субъектами и перечисленным в п.1 Приказа Минфина России № </w:t>
      </w:r>
      <w:proofErr w:type="gramStart"/>
      <w:r w:rsidRPr="00123055">
        <w:rPr>
          <w:sz w:val="20"/>
          <w:szCs w:val="20"/>
        </w:rPr>
        <w:t>356,  и</w:t>
      </w:r>
      <w:proofErr w:type="gramEnd"/>
      <w:r w:rsidRPr="00123055">
        <w:rPr>
          <w:sz w:val="20"/>
          <w:szCs w:val="20"/>
        </w:rPr>
        <w:t xml:space="preserve"> не могут быть использованы для анализа бюджетных рисков, связанных с потерями доходов бюджета в связи с изменением геополитической обстановки, общемировой конъюнктуры, снижением цен на энергоресурсы и т.д.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11E9"/>
    <w:multiLevelType w:val="hybridMultilevel"/>
    <w:tmpl w:val="686671DA"/>
    <w:lvl w:ilvl="0" w:tplc="A70E3A7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7A7F340B"/>
    <w:multiLevelType w:val="hybridMultilevel"/>
    <w:tmpl w:val="3E4EA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A6"/>
    <w:rsid w:val="00031820"/>
    <w:rsid w:val="00213465"/>
    <w:rsid w:val="002F7E9F"/>
    <w:rsid w:val="00315935"/>
    <w:rsid w:val="00604D98"/>
    <w:rsid w:val="00651A1E"/>
    <w:rsid w:val="0076760D"/>
    <w:rsid w:val="00801BD5"/>
    <w:rsid w:val="00847537"/>
    <w:rsid w:val="00851D9D"/>
    <w:rsid w:val="00A164A6"/>
    <w:rsid w:val="00C2357E"/>
    <w:rsid w:val="00CC4C42"/>
    <w:rsid w:val="00F5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F3764"/>
  <w14:defaultImageDpi w14:val="300"/>
  <w15:docId w15:val="{C1311B66-7107-46DC-98E0-5A74F973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4A6"/>
    <w:pPr>
      <w:spacing w:line="36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64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164A6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A164A6"/>
    <w:pPr>
      <w:spacing w:before="100" w:beforeAutospacing="1" w:after="100" w:afterAutospacing="1"/>
    </w:pPr>
    <w:rPr>
      <w:rFonts w:eastAsiaTheme="minorHAnsi"/>
      <w:color w:val="0C1D6B"/>
      <w:spacing w:val="1"/>
      <w:lang w:eastAsia="en-US"/>
    </w:rPr>
  </w:style>
  <w:style w:type="character" w:styleId="a6">
    <w:name w:val="page number"/>
    <w:basedOn w:val="a0"/>
    <w:uiPriority w:val="99"/>
    <w:semiHidden/>
    <w:unhideWhenUsed/>
    <w:rsid w:val="00A164A6"/>
  </w:style>
  <w:style w:type="paragraph" w:styleId="a7">
    <w:name w:val="footnote text"/>
    <w:basedOn w:val="a"/>
    <w:link w:val="a8"/>
    <w:uiPriority w:val="99"/>
    <w:unhideWhenUsed/>
    <w:rsid w:val="00213465"/>
    <w:pPr>
      <w:spacing w:line="240" w:lineRule="auto"/>
      <w:jc w:val="left"/>
    </w:pPr>
    <w:rPr>
      <w:rFonts w:asciiTheme="minorHAnsi" w:eastAsiaTheme="minorHAnsi" w:hAnsiTheme="minorHAnsi" w:cstheme="minorBidi"/>
      <w:bCs w:val="0"/>
      <w:sz w:val="24"/>
      <w:szCs w:val="24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213465"/>
    <w:rPr>
      <w:rFonts w:eastAsiaTheme="minorHAnsi"/>
      <w:lang w:eastAsia="en-US"/>
    </w:rPr>
  </w:style>
  <w:style w:type="character" w:styleId="a9">
    <w:name w:val="footnote reference"/>
    <w:aliases w:val="текст сноски,Знак сноски-FN,Ciae niinee-FN,Знак сноски 1"/>
    <w:basedOn w:val="a0"/>
    <w:uiPriority w:val="99"/>
    <w:unhideWhenUsed/>
    <w:rsid w:val="00213465"/>
    <w:rPr>
      <w:vertAlign w:val="superscript"/>
    </w:rPr>
  </w:style>
  <w:style w:type="paragraph" w:styleId="aa">
    <w:name w:val="List Paragraph"/>
    <w:basedOn w:val="a"/>
    <w:uiPriority w:val="34"/>
    <w:qFormat/>
    <w:rsid w:val="00213465"/>
    <w:pPr>
      <w:spacing w:line="240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4"/>
      <w:szCs w:val="24"/>
      <w:lang w:eastAsia="en-US"/>
    </w:rPr>
  </w:style>
  <w:style w:type="table" w:styleId="ab">
    <w:name w:val="Table Grid"/>
    <w:basedOn w:val="a1"/>
    <w:uiPriority w:val="39"/>
    <w:rsid w:val="0021346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EBC47-2186-4FA1-B5BA-752B53BB7372}"/>
</file>

<file path=customXml/itemProps2.xml><?xml version="1.0" encoding="utf-8"?>
<ds:datastoreItem xmlns:ds="http://schemas.openxmlformats.org/officeDocument/2006/customXml" ds:itemID="{C4E64FB8-547B-4011-BBD5-0DDA3E1A4D94}"/>
</file>

<file path=customXml/itemProps3.xml><?xml version="1.0" encoding="utf-8"?>
<ds:datastoreItem xmlns:ds="http://schemas.openxmlformats.org/officeDocument/2006/customXml" ds:itemID="{94EDD535-0DDC-451B-820A-DC730722C5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Рекомендации по управлению бюджетными рисками в РФ на средне- и долгосрочную перспективу с учетом требований эффективного и ответственного управления госфинансами</dc:title>
  <dc:subject/>
  <dc:creator>Светлана</dc:creator>
  <cp:keywords/>
  <dc:description/>
  <cp:lastModifiedBy>Белгородцев Виктор Петрович</cp:lastModifiedBy>
  <cp:revision>2</cp:revision>
  <dcterms:created xsi:type="dcterms:W3CDTF">2018-04-17T12:07:00Z</dcterms:created>
  <dcterms:modified xsi:type="dcterms:W3CDTF">2018-04-17T12:07:00Z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