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C24" w:rsidRPr="00662C24" w:rsidRDefault="00662C24" w:rsidP="00662C2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C24">
        <w:rPr>
          <w:rFonts w:ascii="Times New Roman" w:hAnsi="Times New Roman" w:cs="Times New Roman"/>
          <w:b/>
          <w:bCs/>
          <w:sz w:val="28"/>
          <w:szCs w:val="28"/>
        </w:rPr>
        <w:t xml:space="preserve">Рекламно-техническое описание </w:t>
      </w:r>
    </w:p>
    <w:p w:rsidR="00662C24" w:rsidRPr="00662C24" w:rsidRDefault="00662C24" w:rsidP="00662C2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C24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результата интеллектуальной деятельности </w:t>
      </w:r>
    </w:p>
    <w:p w:rsidR="00662C24" w:rsidRDefault="00662C24" w:rsidP="00662C2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7FF9" w:rsidRPr="00301887" w:rsidRDefault="00A17FF9" w:rsidP="00662C2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</w:p>
    <w:p w:rsidR="00A17FF9" w:rsidRPr="00301887" w:rsidRDefault="00A17FF9" w:rsidP="00A17FF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в виде секрета производства (ноу-хау)</w:t>
      </w:r>
    </w:p>
    <w:p w:rsidR="00A17FF9" w:rsidRPr="00301887" w:rsidRDefault="00A17FF9" w:rsidP="00A17F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84837288"/>
      <w:r>
        <w:rPr>
          <w:rFonts w:ascii="Times New Roman" w:hAnsi="Times New Roman" w:cs="Times New Roman"/>
          <w:b/>
          <w:sz w:val="28"/>
          <w:szCs w:val="28"/>
        </w:rPr>
        <w:t>«</w:t>
      </w:r>
      <w:bookmarkStart w:id="1" w:name="_GoBack"/>
      <w:r w:rsidR="006331E6" w:rsidRPr="006331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Оценка экономической эффективности проведения крупных международных форумов</w:t>
      </w:r>
      <w:bookmarkEnd w:id="1"/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A17FF9" w:rsidRPr="00301887" w:rsidRDefault="00A17FF9" w:rsidP="00662C24">
      <w:pPr>
        <w:spacing w:line="240" w:lineRule="auto"/>
        <w:contextualSpacing/>
        <w:jc w:val="center"/>
        <w:rPr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 xml:space="preserve">разработан в рамках </w:t>
      </w:r>
      <w:r w:rsidR="00662C24">
        <w:rPr>
          <w:rFonts w:ascii="Times New Roman" w:hAnsi="Times New Roman" w:cs="Times New Roman"/>
          <w:sz w:val="28"/>
          <w:szCs w:val="28"/>
        </w:rPr>
        <w:t>ПНИР</w:t>
      </w:r>
      <w:r w:rsidRPr="00301887">
        <w:rPr>
          <w:rFonts w:ascii="Times New Roman" w:hAnsi="Times New Roman" w:cs="Times New Roman"/>
          <w:sz w:val="28"/>
          <w:szCs w:val="28"/>
        </w:rPr>
        <w:t>:</w:t>
      </w:r>
      <w:r w:rsidR="00662C24">
        <w:rPr>
          <w:rFonts w:ascii="Times New Roman" w:hAnsi="Times New Roman" w:cs="Times New Roman"/>
          <w:sz w:val="28"/>
          <w:szCs w:val="28"/>
        </w:rPr>
        <w:t xml:space="preserve"> </w:t>
      </w:r>
      <w:r w:rsidRPr="00301887">
        <w:rPr>
          <w:rFonts w:ascii="Times New Roman" w:hAnsi="Times New Roman" w:cs="Times New Roman"/>
          <w:sz w:val="28"/>
          <w:szCs w:val="28"/>
        </w:rPr>
        <w:t>«</w:t>
      </w:r>
      <w:r w:rsidR="006331E6" w:rsidRPr="00633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проведения крупных международных мероприятий, в том числе вопросы оценки понесенных расходов, связанных с их переносом или отменой</w:t>
      </w:r>
      <w:r w:rsidRPr="00662C24">
        <w:rPr>
          <w:rFonts w:ascii="Times New Roman" w:hAnsi="Times New Roman" w:cs="Times New Roman"/>
          <w:sz w:val="28"/>
          <w:szCs w:val="28"/>
        </w:rPr>
        <w:t>»</w:t>
      </w:r>
      <w:r w:rsidRPr="00301887">
        <w:rPr>
          <w:rFonts w:ascii="Times New Roman" w:hAnsi="Times New Roman" w:cs="Times New Roman"/>
          <w:sz w:val="28"/>
          <w:szCs w:val="28"/>
        </w:rPr>
        <w:t xml:space="preserve"> </w:t>
      </w:r>
      <w:r w:rsidR="00662C24" w:rsidRPr="00662C24">
        <w:rPr>
          <w:rFonts w:ascii="Times New Roman" w:hAnsi="Times New Roman" w:cs="Times New Roman"/>
          <w:sz w:val="28"/>
          <w:szCs w:val="28"/>
        </w:rPr>
        <w:t>по государственному заданию Финансовому университету на 2021 год</w:t>
      </w:r>
    </w:p>
    <w:p w:rsidR="00662C24" w:rsidRDefault="00662C24" w:rsidP="00A17F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17FF9" w:rsidRPr="00301887" w:rsidRDefault="00A17FF9" w:rsidP="00A17F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Сведения об автор</w:t>
      </w:r>
      <w:r w:rsidR="0059754E">
        <w:rPr>
          <w:rFonts w:ascii="Times New Roman" w:hAnsi="Times New Roman" w:cs="Times New Roman"/>
          <w:sz w:val="28"/>
          <w:szCs w:val="28"/>
        </w:rPr>
        <w:t>ах</w:t>
      </w:r>
      <w:r w:rsidRPr="0030188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411"/>
        <w:gridCol w:w="6784"/>
      </w:tblGrid>
      <w:tr w:rsidR="003F2239" w:rsidRPr="00662C24" w:rsidTr="006331E6">
        <w:tc>
          <w:tcPr>
            <w:tcW w:w="3411" w:type="dxa"/>
            <w:vAlign w:val="center"/>
          </w:tcPr>
          <w:p w:rsidR="00662C24" w:rsidRPr="00662C24" w:rsidRDefault="006331E6" w:rsidP="00662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7EB2F6" wp14:editId="5DA48372">
                  <wp:extent cx="1943100" cy="230429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Сидоренко Г.Г. Фото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9984" b="96564" l="10000" r="91872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55" t="3477" r="7674" b="3064"/>
                          <a:stretch/>
                        </pic:blipFill>
                        <pic:spPr bwMode="auto">
                          <a:xfrm>
                            <a:off x="0" y="0"/>
                            <a:ext cx="1950826" cy="2313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4" w:type="dxa"/>
          </w:tcPr>
          <w:p w:rsidR="00662C24" w:rsidRPr="00662C24" w:rsidRDefault="006331E6" w:rsidP="00662C24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Григорий Георгиевич</w:t>
            </w:r>
          </w:p>
          <w:p w:rsidR="00991238" w:rsidRDefault="006331E6" w:rsidP="00991238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 Департамента экономической безопасности и управления рисками Факультета экономики и бизнеса</w:t>
            </w:r>
          </w:p>
          <w:p w:rsidR="00662C24" w:rsidRPr="00662C24" w:rsidRDefault="006331E6" w:rsidP="00991238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 технических</w:t>
            </w:r>
            <w:r w:rsidRPr="00096077">
              <w:rPr>
                <w:rFonts w:ascii="Times New Roman" w:hAnsi="Times New Roman" w:cs="Times New Roman"/>
                <w:sz w:val="28"/>
                <w:szCs w:val="28"/>
              </w:rPr>
              <w:t xml:space="preserve"> наук,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662C24" w:rsidRPr="00662C24" w:rsidRDefault="006331E6" w:rsidP="00662C24">
            <w:pPr>
              <w:spacing w:after="120"/>
              <w:contextualSpacing/>
              <w:rPr>
                <w:rFonts w:ascii="Times New Roman" w:hAnsi="Times New Roman" w:cs="Times New Roman"/>
              </w:rPr>
            </w:pPr>
            <w:r w:rsidRPr="00662C24">
              <w:rPr>
                <w:rFonts w:ascii="Times New Roman" w:hAnsi="Times New Roman" w:cs="Times New Roman"/>
              </w:rPr>
              <w:t>Адрес: 1</w:t>
            </w:r>
            <w:r>
              <w:rPr>
                <w:rFonts w:ascii="Times New Roman" w:hAnsi="Times New Roman" w:cs="Times New Roman"/>
              </w:rPr>
              <w:t>29164</w:t>
            </w:r>
            <w:r w:rsidRPr="00662C24">
              <w:rPr>
                <w:rFonts w:ascii="Times New Roman" w:hAnsi="Times New Roman" w:cs="Times New Roman"/>
              </w:rPr>
              <w:t>, Моск</w:t>
            </w:r>
            <w:r>
              <w:rPr>
                <w:rFonts w:ascii="Times New Roman" w:hAnsi="Times New Roman" w:cs="Times New Roman"/>
              </w:rPr>
              <w:t>в</w:t>
            </w:r>
            <w:r w:rsidRPr="00662C24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, улица Кибальчича, д.1. каб 603</w:t>
            </w:r>
          </w:p>
          <w:p w:rsidR="00662C24" w:rsidRPr="00662C24" w:rsidRDefault="00662C24" w:rsidP="00662C24">
            <w:pPr>
              <w:spacing w:after="120"/>
              <w:contextualSpacing/>
              <w:rPr>
                <w:rFonts w:ascii="Times New Roman" w:hAnsi="Times New Roman" w:cs="Times New Roman"/>
              </w:rPr>
            </w:pPr>
            <w:r w:rsidRPr="00662C24">
              <w:rPr>
                <w:rFonts w:ascii="Times New Roman" w:hAnsi="Times New Roman" w:cs="Times New Roman"/>
              </w:rPr>
              <w:t>Тел.: +7 (</w:t>
            </w:r>
            <w:r w:rsidR="006331E6">
              <w:rPr>
                <w:rFonts w:ascii="Times New Roman" w:hAnsi="Times New Roman" w:cs="Times New Roman"/>
              </w:rPr>
              <w:t>985</w:t>
            </w:r>
            <w:r w:rsidRPr="00662C24">
              <w:rPr>
                <w:rFonts w:ascii="Times New Roman" w:hAnsi="Times New Roman" w:cs="Times New Roman"/>
              </w:rPr>
              <w:t xml:space="preserve">) </w:t>
            </w:r>
            <w:r w:rsidR="006331E6">
              <w:rPr>
                <w:rFonts w:ascii="Times New Roman" w:hAnsi="Times New Roman" w:cs="Times New Roman"/>
              </w:rPr>
              <w:t>271</w:t>
            </w:r>
            <w:r w:rsidRPr="00662C24">
              <w:rPr>
                <w:rFonts w:ascii="Times New Roman" w:hAnsi="Times New Roman" w:cs="Times New Roman"/>
              </w:rPr>
              <w:t>-</w:t>
            </w:r>
            <w:r w:rsidR="006331E6">
              <w:rPr>
                <w:rFonts w:ascii="Times New Roman" w:hAnsi="Times New Roman" w:cs="Times New Roman"/>
              </w:rPr>
              <w:t>88</w:t>
            </w:r>
            <w:r w:rsidRPr="00662C24">
              <w:rPr>
                <w:rFonts w:ascii="Times New Roman" w:hAnsi="Times New Roman" w:cs="Times New Roman"/>
              </w:rPr>
              <w:t>-</w:t>
            </w:r>
            <w:r w:rsidR="006331E6">
              <w:rPr>
                <w:rFonts w:ascii="Times New Roman" w:hAnsi="Times New Roman" w:cs="Times New Roman"/>
              </w:rPr>
              <w:t>67</w:t>
            </w:r>
          </w:p>
          <w:p w:rsidR="00662C24" w:rsidRPr="00662C24" w:rsidRDefault="00662C24" w:rsidP="006331E6">
            <w:pPr>
              <w:spacing w:after="120"/>
              <w:contextualSpacing/>
              <w:rPr>
                <w:rFonts w:ascii="Times New Roman" w:hAnsi="Times New Roman" w:cs="Times New Roman"/>
              </w:rPr>
            </w:pPr>
            <w:r w:rsidRPr="00662C24">
              <w:rPr>
                <w:rFonts w:ascii="Times New Roman" w:hAnsi="Times New Roman" w:cs="Times New Roman"/>
              </w:rPr>
              <w:t>Эл. адрес:</w:t>
            </w:r>
            <w:r w:rsidRPr="00662C24">
              <w:t xml:space="preserve"> </w:t>
            </w:r>
            <w:r w:rsidR="006331E6">
              <w:rPr>
                <w:rFonts w:ascii="Times New Roman" w:hAnsi="Times New Roman" w:cs="Times New Roman"/>
                <w:color w:val="0563C1" w:themeColor="hyperlink"/>
                <w:u w:val="single"/>
                <w:lang w:val="en-US"/>
              </w:rPr>
              <w:t>GGSidorenko</w:t>
            </w:r>
            <w:r w:rsidR="00991238" w:rsidRPr="003027C3">
              <w:rPr>
                <w:rFonts w:ascii="Times New Roman" w:hAnsi="Times New Roman" w:cs="Times New Roman"/>
                <w:color w:val="0563C1" w:themeColor="hyperlink"/>
                <w:u w:val="single"/>
              </w:rPr>
              <w:t>@</w:t>
            </w:r>
            <w:r w:rsidR="00991238" w:rsidRPr="00991238">
              <w:rPr>
                <w:rFonts w:ascii="Times New Roman" w:hAnsi="Times New Roman" w:cs="Times New Roman"/>
                <w:color w:val="0563C1" w:themeColor="hyperlink"/>
                <w:u w:val="single"/>
                <w:lang w:val="en-US"/>
              </w:rPr>
              <w:t>fa</w:t>
            </w:r>
            <w:r w:rsidR="00991238" w:rsidRPr="003027C3">
              <w:rPr>
                <w:rFonts w:ascii="Times New Roman" w:hAnsi="Times New Roman" w:cs="Times New Roman"/>
                <w:color w:val="0563C1" w:themeColor="hyperlink"/>
                <w:u w:val="single"/>
              </w:rPr>
              <w:t>.</w:t>
            </w:r>
            <w:r w:rsidR="00991238" w:rsidRPr="00991238">
              <w:rPr>
                <w:rFonts w:ascii="Times New Roman" w:hAnsi="Times New Roman" w:cs="Times New Roman"/>
                <w:color w:val="0563C1" w:themeColor="hyperlink"/>
                <w:u w:val="single"/>
                <w:lang w:val="en-US"/>
              </w:rPr>
              <w:t>ru</w:t>
            </w:r>
          </w:p>
        </w:tc>
      </w:tr>
      <w:tr w:rsidR="003F2239" w:rsidRPr="00662C24" w:rsidTr="006331E6">
        <w:trPr>
          <w:trHeight w:val="3240"/>
        </w:trPr>
        <w:tc>
          <w:tcPr>
            <w:tcW w:w="3411" w:type="dxa"/>
            <w:vAlign w:val="center"/>
          </w:tcPr>
          <w:p w:rsidR="00662C24" w:rsidRPr="00662C24" w:rsidRDefault="006331E6" w:rsidP="00662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9E4">
              <w:rPr>
                <w:noProof/>
                <w:lang w:eastAsia="ru-RU"/>
              </w:rPr>
              <w:drawing>
                <wp:inline distT="0" distB="0" distL="0" distR="0" wp14:anchorId="143EB64D" wp14:editId="44E47599">
                  <wp:extent cx="2028825" cy="2262628"/>
                  <wp:effectExtent l="0" t="0" r="0" b="4445"/>
                  <wp:docPr id="3" name="Рисунок 3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895" cy="2285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4" w:type="dxa"/>
          </w:tcPr>
          <w:p w:rsidR="00662C24" w:rsidRPr="00662C24" w:rsidRDefault="00662C24" w:rsidP="00662C24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C24" w:rsidRPr="00662C24" w:rsidRDefault="006331E6" w:rsidP="00662C24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ПРАСОЛОВ Валерий Иванович</w:t>
            </w:r>
          </w:p>
          <w:p w:rsidR="00662C24" w:rsidRPr="00662C24" w:rsidRDefault="006331E6" w:rsidP="00662C24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 Департамента экономической безопасности и управления рисками Факультета экономики и бизнеса</w:t>
            </w:r>
          </w:p>
          <w:p w:rsidR="00662C24" w:rsidRPr="00662C24" w:rsidRDefault="006331E6" w:rsidP="00662C24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 политических наук, доцент</w:t>
            </w:r>
          </w:p>
          <w:p w:rsidR="00662C24" w:rsidRPr="00662C24" w:rsidRDefault="00662C24" w:rsidP="00662C24">
            <w:pPr>
              <w:spacing w:after="120"/>
              <w:contextualSpacing/>
              <w:rPr>
                <w:rFonts w:ascii="Times New Roman" w:hAnsi="Times New Roman" w:cs="Times New Roman"/>
              </w:rPr>
            </w:pPr>
            <w:r w:rsidRPr="00662C24">
              <w:rPr>
                <w:rFonts w:ascii="Times New Roman" w:hAnsi="Times New Roman" w:cs="Times New Roman"/>
              </w:rPr>
              <w:t>Адрес: 1</w:t>
            </w:r>
            <w:r w:rsidR="00261493">
              <w:rPr>
                <w:rFonts w:ascii="Times New Roman" w:hAnsi="Times New Roman" w:cs="Times New Roman"/>
              </w:rPr>
              <w:t>29164</w:t>
            </w:r>
            <w:r w:rsidRPr="00662C24">
              <w:rPr>
                <w:rFonts w:ascii="Times New Roman" w:hAnsi="Times New Roman" w:cs="Times New Roman"/>
              </w:rPr>
              <w:t>, Моск</w:t>
            </w:r>
            <w:r w:rsidR="00261493">
              <w:rPr>
                <w:rFonts w:ascii="Times New Roman" w:hAnsi="Times New Roman" w:cs="Times New Roman"/>
              </w:rPr>
              <w:t>в</w:t>
            </w:r>
            <w:r w:rsidRPr="00662C24">
              <w:rPr>
                <w:rFonts w:ascii="Times New Roman" w:hAnsi="Times New Roman" w:cs="Times New Roman"/>
              </w:rPr>
              <w:t>а</w:t>
            </w:r>
            <w:r w:rsidR="006331E6">
              <w:rPr>
                <w:rFonts w:ascii="Times New Roman" w:hAnsi="Times New Roman" w:cs="Times New Roman"/>
              </w:rPr>
              <w:t>, улица Кибальчича, д.1. каб 36</w:t>
            </w:r>
          </w:p>
          <w:p w:rsidR="00662C24" w:rsidRPr="006331E6" w:rsidRDefault="00662C24" w:rsidP="00662C24">
            <w:pPr>
              <w:spacing w:after="120"/>
              <w:contextualSpacing/>
              <w:rPr>
                <w:rFonts w:ascii="Times New Roman" w:hAnsi="Times New Roman" w:cs="Times New Roman"/>
              </w:rPr>
            </w:pPr>
            <w:r w:rsidRPr="00662C24">
              <w:rPr>
                <w:rFonts w:ascii="Times New Roman" w:hAnsi="Times New Roman" w:cs="Times New Roman"/>
              </w:rPr>
              <w:t>Тел.: +7 (9</w:t>
            </w:r>
            <w:r w:rsidR="006331E6" w:rsidRPr="006331E6">
              <w:rPr>
                <w:rFonts w:ascii="Times New Roman" w:hAnsi="Times New Roman" w:cs="Times New Roman"/>
              </w:rPr>
              <w:t>03</w:t>
            </w:r>
            <w:r w:rsidRPr="00662C24">
              <w:rPr>
                <w:rFonts w:ascii="Times New Roman" w:hAnsi="Times New Roman" w:cs="Times New Roman"/>
              </w:rPr>
              <w:t xml:space="preserve">) </w:t>
            </w:r>
            <w:r w:rsidR="006331E6" w:rsidRPr="006331E6">
              <w:rPr>
                <w:rFonts w:ascii="Times New Roman" w:hAnsi="Times New Roman" w:cs="Times New Roman"/>
              </w:rPr>
              <w:t>294-11-39</w:t>
            </w:r>
          </w:p>
          <w:p w:rsidR="00662C24" w:rsidRPr="006331E6" w:rsidRDefault="00662C24" w:rsidP="00662C24">
            <w:pPr>
              <w:spacing w:after="120"/>
              <w:contextualSpacing/>
            </w:pPr>
            <w:r w:rsidRPr="00662C24">
              <w:rPr>
                <w:rFonts w:ascii="Times New Roman" w:hAnsi="Times New Roman" w:cs="Times New Roman"/>
              </w:rPr>
              <w:t xml:space="preserve">Эл. адрес: </w:t>
            </w:r>
            <w:r w:rsidR="006331E6" w:rsidRPr="006331E6">
              <w:rPr>
                <w:rFonts w:ascii="Times New Roman" w:hAnsi="Times New Roman" w:cs="Times New Roman"/>
                <w:color w:val="0563C1" w:themeColor="hyperlink"/>
                <w:u w:val="single"/>
                <w:lang w:val="en-US"/>
              </w:rPr>
              <w:t>VIPrasolov</w:t>
            </w:r>
            <w:r w:rsidR="006331E6" w:rsidRPr="00D56E4B">
              <w:rPr>
                <w:rFonts w:ascii="Times New Roman" w:hAnsi="Times New Roman" w:cs="Times New Roman"/>
                <w:color w:val="0563C1" w:themeColor="hyperlink"/>
                <w:u w:val="single"/>
              </w:rPr>
              <w:t>@</w:t>
            </w:r>
            <w:r w:rsidR="006331E6" w:rsidRPr="006331E6">
              <w:rPr>
                <w:rFonts w:ascii="Times New Roman" w:hAnsi="Times New Roman" w:cs="Times New Roman"/>
                <w:color w:val="0563C1" w:themeColor="hyperlink"/>
                <w:u w:val="single"/>
                <w:lang w:val="en-US"/>
              </w:rPr>
              <w:t>fa</w:t>
            </w:r>
            <w:r w:rsidR="006331E6" w:rsidRPr="00D56E4B">
              <w:rPr>
                <w:rFonts w:ascii="Times New Roman" w:hAnsi="Times New Roman" w:cs="Times New Roman"/>
                <w:color w:val="0563C1" w:themeColor="hyperlink"/>
                <w:u w:val="single"/>
              </w:rPr>
              <w:t>.</w:t>
            </w:r>
            <w:r w:rsidR="006331E6" w:rsidRPr="006331E6">
              <w:rPr>
                <w:rFonts w:ascii="Times New Roman" w:hAnsi="Times New Roman" w:cs="Times New Roman"/>
                <w:color w:val="0563C1" w:themeColor="hyperlink"/>
                <w:u w:val="single"/>
                <w:lang w:val="en-US"/>
              </w:rPr>
              <w:t>ru</w:t>
            </w:r>
          </w:p>
          <w:p w:rsidR="00306AAB" w:rsidRPr="00662C24" w:rsidRDefault="00306AAB" w:rsidP="00662C24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2C24" w:rsidRDefault="00662C24" w:rsidP="00CD620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3A9" w:rsidRPr="00EE0592" w:rsidRDefault="00EE0592" w:rsidP="00EE0592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592"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интеллектуальной деятельности</w:t>
      </w:r>
    </w:p>
    <w:p w:rsidR="000D17C3" w:rsidRDefault="000D17C3" w:rsidP="000D17C3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E0592" w:rsidRPr="001D000B" w:rsidRDefault="00EE0592" w:rsidP="005123A8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Информация о технологии:</w:t>
      </w:r>
      <w:r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ноу-хау (коммерческая тайна) «</w:t>
      </w:r>
      <w:r w:rsidR="006331E6" w:rsidRPr="0063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экономической эффективности проведения крупных международных форумов</w:t>
      </w:r>
      <w:r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="006331E6">
        <w:rPr>
          <w:rFonts w:ascii="Times New Roman" w:eastAsia="Calibri" w:hAnsi="Times New Roman" w:cs="Times New Roman"/>
          <w:sz w:val="28"/>
          <w:szCs w:val="28"/>
        </w:rPr>
        <w:t>Крупные международные мероприятия на государственном уровне, в то числе Международные форумы</w:t>
      </w:r>
      <w:r w:rsidR="006331E6" w:rsidRPr="00B250DE">
        <w:rPr>
          <w:rFonts w:ascii="Times New Roman" w:eastAsia="Calibri" w:hAnsi="Times New Roman" w:cs="Times New Roman"/>
          <w:sz w:val="28"/>
          <w:szCs w:val="28"/>
        </w:rPr>
        <w:t xml:space="preserve"> явля</w:t>
      </w:r>
      <w:r w:rsidR="006331E6">
        <w:rPr>
          <w:rFonts w:ascii="Times New Roman" w:eastAsia="Calibri" w:hAnsi="Times New Roman" w:cs="Times New Roman"/>
          <w:sz w:val="28"/>
          <w:szCs w:val="28"/>
        </w:rPr>
        <w:t>ю</w:t>
      </w:r>
      <w:r w:rsidR="006331E6" w:rsidRPr="00B250DE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6331E6">
        <w:rPr>
          <w:rFonts w:ascii="Times New Roman" w:eastAsia="Calibri" w:hAnsi="Times New Roman" w:cs="Times New Roman"/>
          <w:sz w:val="28"/>
          <w:szCs w:val="28"/>
        </w:rPr>
        <w:t xml:space="preserve">специализированным местом или территорией </w:t>
      </w:r>
      <w:r w:rsidR="006331E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где осуществляется разноплановая работа бизнеса, государства и населения и проводить оценку экономической эффективности сложно. Достаточно точно и несложно </w:t>
      </w:r>
      <w:r w:rsidR="006331E6" w:rsidRPr="00B250DE">
        <w:rPr>
          <w:rFonts w:ascii="Times New Roman" w:eastAsia="Calibri" w:hAnsi="Times New Roman" w:cs="Times New Roman"/>
          <w:sz w:val="28"/>
          <w:szCs w:val="28"/>
        </w:rPr>
        <w:t xml:space="preserve">оценить эффективность </w:t>
      </w:r>
      <w:r w:rsidR="006331E6">
        <w:rPr>
          <w:rFonts w:ascii="Times New Roman" w:eastAsia="Calibri" w:hAnsi="Times New Roman" w:cs="Times New Roman"/>
          <w:sz w:val="28"/>
          <w:szCs w:val="28"/>
        </w:rPr>
        <w:t>отдельного принятого решения по рекламе продукции или услуги в конкретном месте, а также издательстве, вместе с тем затруднительно проводить анализ</w:t>
      </w:r>
      <w:r w:rsidR="006331E6" w:rsidRPr="00B250DE">
        <w:rPr>
          <w:rFonts w:ascii="Times New Roman" w:eastAsia="Calibri" w:hAnsi="Times New Roman" w:cs="Times New Roman"/>
          <w:sz w:val="28"/>
          <w:szCs w:val="28"/>
        </w:rPr>
        <w:t xml:space="preserve"> по рекламной кампании </w:t>
      </w:r>
      <w:r w:rsidR="006331E6">
        <w:rPr>
          <w:rFonts w:ascii="Times New Roman" w:eastAsia="Calibri" w:hAnsi="Times New Roman" w:cs="Times New Roman"/>
          <w:sz w:val="28"/>
          <w:szCs w:val="28"/>
        </w:rPr>
        <w:t xml:space="preserve">конкретного бизнеса, отрасли </w:t>
      </w:r>
      <w:r w:rsidR="006331E6" w:rsidRPr="00B250DE">
        <w:rPr>
          <w:rFonts w:ascii="Times New Roman" w:eastAsia="Calibri" w:hAnsi="Times New Roman" w:cs="Times New Roman"/>
          <w:sz w:val="28"/>
          <w:szCs w:val="28"/>
        </w:rPr>
        <w:t xml:space="preserve">в целом. </w:t>
      </w:r>
      <w:r w:rsidR="006331E6">
        <w:rPr>
          <w:rFonts w:ascii="Times New Roman" w:eastAsia="Calibri" w:hAnsi="Times New Roman" w:cs="Times New Roman"/>
          <w:sz w:val="28"/>
          <w:szCs w:val="28"/>
        </w:rPr>
        <w:t xml:space="preserve">В связи с чем большинство производителей или бизнесменов периодически принимают участие в различных выставочных мероприятиях или форумах, но при этом не проводят оценку их эффективности, что может быть следствием затруднительности процесса или отсутствия адекватных методик. Однако </w:t>
      </w:r>
      <w:r w:rsidR="006331E6" w:rsidRPr="00B250DE">
        <w:rPr>
          <w:rFonts w:ascii="Times New Roman" w:eastAsia="Calibri" w:hAnsi="Times New Roman" w:cs="Times New Roman"/>
          <w:sz w:val="28"/>
          <w:szCs w:val="28"/>
        </w:rPr>
        <w:t xml:space="preserve">без оценки эффективности </w:t>
      </w:r>
      <w:r w:rsidR="006331E6">
        <w:rPr>
          <w:rFonts w:ascii="Times New Roman" w:eastAsia="Calibri" w:hAnsi="Times New Roman" w:cs="Times New Roman"/>
          <w:sz w:val="28"/>
          <w:szCs w:val="28"/>
        </w:rPr>
        <w:t>мероприятия достаточно сложно осуществлять прогнозирование последующих выставок, что повышает вероятность повтора проблем и ошибок, так как внимание организаторов смещается на техническое выполнение мероприятия, а не на оценку и анализ результатов</w:t>
      </w:r>
      <w:r w:rsidR="006331E6">
        <w:rPr>
          <w:rFonts w:ascii="Times New Roman" w:hAnsi="Times New Roman" w:cs="Times New Roman"/>
          <w:sz w:val="28"/>
          <w:szCs w:val="28"/>
        </w:rPr>
        <w:t>.</w:t>
      </w:r>
    </w:p>
    <w:p w:rsidR="00EE0592" w:rsidRPr="001D000B" w:rsidRDefault="00EE0592" w:rsidP="00EE0592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Научный (научно-технический) задел: </w:t>
      </w:r>
      <w:r w:rsidR="000D17C3" w:rsidRPr="000D1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законченные исследования автор</w:t>
      </w:r>
      <w:r w:rsidR="000D1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0D17C3" w:rsidRPr="000D1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проведенны</w:t>
      </w:r>
      <w:r w:rsidR="00302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D17C3" w:rsidRPr="000D1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гос</w:t>
      </w:r>
      <w:r w:rsidR="000D1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</w:t>
      </w:r>
      <w:r w:rsidR="0063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0D1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7C3" w:rsidRPr="000D1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</w:t>
      </w:r>
      <w:r w:rsidR="0063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D17C3" w:rsidRPr="000D1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Финансового университета </w:t>
      </w:r>
      <w:r w:rsidR="0063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17C3" w:rsidRPr="000D1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63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D17C3" w:rsidRPr="000D1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EE0592" w:rsidRPr="001D000B" w:rsidRDefault="00EE0592" w:rsidP="00EE0592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Степень готовности к разработке инновационного проекта</w:t>
      </w:r>
      <w:r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РИД </w:t>
      </w:r>
      <w:r w:rsidR="000D17C3" w:rsidRPr="000D1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331E6" w:rsidRPr="0063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экономической эффективности проведения крупных международных форумов</w:t>
      </w:r>
      <w:r w:rsidR="000D17C3" w:rsidRPr="000D1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D1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 к использованию в качестве технологии.</w:t>
      </w:r>
    </w:p>
    <w:p w:rsidR="00EE0592" w:rsidRPr="001D000B" w:rsidRDefault="00EE0592" w:rsidP="00EE0592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Новизна технологии, отличие от аналогов</w:t>
      </w:r>
      <w:r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D1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Новизна определяется </w:t>
      </w:r>
      <w:r w:rsidR="006331E6" w:rsidRPr="00AF0C9C">
        <w:rPr>
          <w:rFonts w:ascii="Times New Roman" w:hAnsi="Times New Roman" w:cs="Times New Roman"/>
          <w:sz w:val="28"/>
          <w:szCs w:val="28"/>
        </w:rPr>
        <w:t>оценк</w:t>
      </w:r>
      <w:r w:rsidR="006331E6">
        <w:rPr>
          <w:rFonts w:ascii="Times New Roman" w:hAnsi="Times New Roman" w:cs="Times New Roman"/>
          <w:sz w:val="28"/>
          <w:szCs w:val="28"/>
        </w:rPr>
        <w:t>ой</w:t>
      </w:r>
      <w:r w:rsidR="006331E6" w:rsidRPr="00AF0C9C">
        <w:rPr>
          <w:rFonts w:ascii="Times New Roman" w:hAnsi="Times New Roman" w:cs="Times New Roman"/>
          <w:sz w:val="28"/>
          <w:szCs w:val="28"/>
        </w:rPr>
        <w:t xml:space="preserve"> экономической эффективности проведения крупных международных форумов</w:t>
      </w:r>
      <w:r w:rsidR="006331E6">
        <w:rPr>
          <w:rFonts w:ascii="Times New Roman" w:hAnsi="Times New Roman" w:cs="Times New Roman"/>
          <w:sz w:val="28"/>
          <w:szCs w:val="28"/>
        </w:rPr>
        <w:t>,</w:t>
      </w:r>
      <w:r w:rsidR="006331E6" w:rsidRPr="00944D26">
        <w:rPr>
          <w:rFonts w:ascii="Times New Roman" w:hAnsi="Times New Roman" w:cs="Times New Roman"/>
          <w:sz w:val="28"/>
          <w:szCs w:val="28"/>
        </w:rPr>
        <w:t xml:space="preserve"> </w:t>
      </w:r>
      <w:r w:rsidR="006331E6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6331E6" w:rsidRPr="00944D26">
        <w:rPr>
          <w:rFonts w:ascii="Times New Roman" w:hAnsi="Times New Roman" w:cs="Times New Roman"/>
          <w:sz w:val="28"/>
          <w:szCs w:val="28"/>
        </w:rPr>
        <w:t>включа</w:t>
      </w:r>
      <w:r w:rsidR="006331E6">
        <w:rPr>
          <w:rFonts w:ascii="Times New Roman" w:hAnsi="Times New Roman" w:cs="Times New Roman"/>
          <w:sz w:val="28"/>
          <w:szCs w:val="28"/>
        </w:rPr>
        <w:t>ет</w:t>
      </w:r>
      <w:r w:rsidR="006331E6" w:rsidRPr="00944D26">
        <w:rPr>
          <w:rFonts w:ascii="Times New Roman" w:hAnsi="Times New Roman" w:cs="Times New Roman"/>
          <w:sz w:val="28"/>
          <w:szCs w:val="28"/>
        </w:rPr>
        <w:t xml:space="preserve"> </w:t>
      </w:r>
      <w:r w:rsidR="006331E6">
        <w:rPr>
          <w:rFonts w:ascii="Times New Roman" w:hAnsi="Times New Roman" w:cs="Times New Roman"/>
          <w:sz w:val="28"/>
          <w:szCs w:val="28"/>
        </w:rPr>
        <w:t xml:space="preserve">две группы </w:t>
      </w:r>
      <w:r w:rsidR="006331E6" w:rsidRPr="00BF3AFC">
        <w:rPr>
          <w:rFonts w:ascii="Times New Roman" w:eastAsia="Calibri" w:hAnsi="Times New Roman" w:cs="Times New Roman"/>
          <w:sz w:val="28"/>
          <w:szCs w:val="28"/>
        </w:rPr>
        <w:t>параметр</w:t>
      </w:r>
      <w:r w:rsidR="006331E6">
        <w:rPr>
          <w:rFonts w:ascii="Times New Roman" w:eastAsia="Calibri" w:hAnsi="Times New Roman" w:cs="Times New Roman"/>
          <w:sz w:val="28"/>
          <w:szCs w:val="28"/>
        </w:rPr>
        <w:t>ов</w:t>
      </w:r>
      <w:r w:rsidR="006331E6" w:rsidRPr="00944D26">
        <w:rPr>
          <w:rFonts w:ascii="Times New Roman" w:hAnsi="Times New Roman" w:cs="Times New Roman"/>
          <w:sz w:val="28"/>
          <w:szCs w:val="28"/>
        </w:rPr>
        <w:t xml:space="preserve">: </w:t>
      </w:r>
      <w:r w:rsidR="006331E6" w:rsidRPr="00AF0C9C">
        <w:rPr>
          <w:rFonts w:ascii="Times New Roman" w:hAnsi="Times New Roman" w:cs="Times New Roman"/>
          <w:sz w:val="28"/>
          <w:szCs w:val="28"/>
        </w:rPr>
        <w:t>экономические (количественные) показатели</w:t>
      </w:r>
      <w:r w:rsidR="006331E6">
        <w:rPr>
          <w:rFonts w:ascii="Times New Roman" w:hAnsi="Times New Roman" w:cs="Times New Roman"/>
          <w:sz w:val="28"/>
          <w:szCs w:val="28"/>
        </w:rPr>
        <w:t xml:space="preserve"> и </w:t>
      </w:r>
      <w:r w:rsidR="006331E6" w:rsidRPr="00AF0C9C">
        <w:rPr>
          <w:rFonts w:ascii="Times New Roman" w:hAnsi="Times New Roman" w:cs="Times New Roman"/>
          <w:sz w:val="28"/>
          <w:szCs w:val="28"/>
        </w:rPr>
        <w:t>коммуникативные (отношения, восприятия) показатели</w:t>
      </w:r>
      <w:r w:rsidR="006331E6">
        <w:rPr>
          <w:rFonts w:ascii="Times New Roman" w:hAnsi="Times New Roman" w:cs="Times New Roman"/>
          <w:sz w:val="28"/>
          <w:szCs w:val="28"/>
        </w:rPr>
        <w:t>, а также формульную зависимость интегральных значений данных параметров в соответствии с рассматриваемыми уровнями значимости данных групп</w:t>
      </w:r>
      <w:r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E0592" w:rsidRPr="001D000B" w:rsidRDefault="00EE0592" w:rsidP="00EE0592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Технологические преимущества.</w:t>
      </w:r>
      <w:r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РИД позволит</w:t>
      </w:r>
      <w:r w:rsidR="000D1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</w:t>
      </w:r>
      <w:r w:rsidR="00950E24">
        <w:rPr>
          <w:rFonts w:ascii="Times New Roman" w:hAnsi="Times New Roman" w:cs="Times New Roman"/>
          <w:sz w:val="28"/>
          <w:szCs w:val="28"/>
        </w:rPr>
        <w:t>процесс управления рисками в ходе подготовки к проведению крупных международных мероприятий на основе риск-ориентированного подхода с оценкой конвертных затрат, а расчет основывается на подтверждающих документах (р</w:t>
      </w:r>
      <w:r w:rsidR="00950E24" w:rsidRPr="009407E9">
        <w:rPr>
          <w:rFonts w:ascii="Times New Roman" w:hAnsi="Times New Roman" w:cs="Times New Roman"/>
          <w:sz w:val="28"/>
          <w:szCs w:val="28"/>
        </w:rPr>
        <w:t>асшифровк</w:t>
      </w:r>
      <w:r w:rsidR="00950E24">
        <w:rPr>
          <w:rFonts w:ascii="Times New Roman" w:hAnsi="Times New Roman" w:cs="Times New Roman"/>
          <w:sz w:val="28"/>
          <w:szCs w:val="28"/>
        </w:rPr>
        <w:t>е</w:t>
      </w:r>
      <w:r w:rsidR="00950E24" w:rsidRPr="009407E9">
        <w:rPr>
          <w:rFonts w:ascii="Times New Roman" w:hAnsi="Times New Roman" w:cs="Times New Roman"/>
          <w:sz w:val="28"/>
          <w:szCs w:val="28"/>
        </w:rPr>
        <w:t xml:space="preserve"> по стать</w:t>
      </w:r>
      <w:r w:rsidR="00950E24">
        <w:rPr>
          <w:rFonts w:ascii="Times New Roman" w:hAnsi="Times New Roman" w:cs="Times New Roman"/>
          <w:sz w:val="28"/>
          <w:szCs w:val="28"/>
        </w:rPr>
        <w:t>ям расходов)</w:t>
      </w:r>
      <w:r w:rsidR="00950E24" w:rsidRPr="009407E9">
        <w:rPr>
          <w:rFonts w:ascii="Times New Roman" w:hAnsi="Times New Roman" w:cs="Times New Roman"/>
          <w:sz w:val="28"/>
          <w:szCs w:val="28"/>
        </w:rPr>
        <w:t xml:space="preserve"> </w:t>
      </w:r>
      <w:r w:rsidR="00950E24">
        <w:rPr>
          <w:rFonts w:ascii="Times New Roman" w:hAnsi="Times New Roman" w:cs="Times New Roman"/>
          <w:sz w:val="28"/>
          <w:szCs w:val="28"/>
        </w:rPr>
        <w:t>понесенных расходов организатором с детализацией по каждой статье и их обоснованием.</w:t>
      </w:r>
    </w:p>
    <w:p w:rsidR="00EE0592" w:rsidRPr="001D000B" w:rsidRDefault="00EE0592" w:rsidP="00EE0592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Экономические преимущества</w:t>
      </w:r>
      <w:r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50E24" w:rsidRPr="002B0FAA">
        <w:rPr>
          <w:rFonts w:ascii="Times New Roman" w:hAnsi="Times New Roman" w:cs="Times New Roman"/>
          <w:sz w:val="28"/>
          <w:szCs w:val="28"/>
        </w:rPr>
        <w:t xml:space="preserve">Данный РИД имеет высокий потенциал коммерциализации в силу востребованности </w:t>
      </w:r>
      <w:r w:rsidR="00950E24">
        <w:rPr>
          <w:rFonts w:ascii="Times New Roman" w:hAnsi="Times New Roman" w:cs="Times New Roman"/>
          <w:sz w:val="28"/>
          <w:szCs w:val="28"/>
        </w:rPr>
        <w:t>внедрения</w:t>
      </w:r>
      <w:r w:rsidR="00950E24" w:rsidRPr="00944D26">
        <w:rPr>
          <w:rFonts w:ascii="Times New Roman" w:hAnsi="Times New Roman" w:cs="Times New Roman"/>
          <w:sz w:val="28"/>
          <w:szCs w:val="28"/>
        </w:rPr>
        <w:t xml:space="preserve"> </w:t>
      </w:r>
      <w:r w:rsidR="00950E24">
        <w:rPr>
          <w:rFonts w:ascii="Times New Roman" w:hAnsi="Times New Roman" w:cs="Times New Roman"/>
          <w:sz w:val="28"/>
          <w:szCs w:val="28"/>
        </w:rPr>
        <w:t xml:space="preserve">как в государственные структуры с целью планирования ассигнований, выделяемых на проведение мероприятия, так и для организаторов для оценки результатов </w:t>
      </w:r>
      <w:r w:rsidR="00950E2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полном объеме, в том </w:t>
      </w:r>
      <w:r w:rsidR="00950E24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числе и на основании анализа коммуникативных</w:t>
      </w:r>
      <w:r w:rsidR="00950E24" w:rsidRPr="0098201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(отношения, восприятия) показател</w:t>
      </w:r>
      <w:r w:rsidR="00950E24">
        <w:rPr>
          <w:rFonts w:ascii="Times New Roman" w:eastAsia="Calibri" w:hAnsi="Times New Roman" w:cs="Times New Roman"/>
          <w:bCs/>
          <w:iCs/>
          <w:sz w:val="28"/>
          <w:szCs w:val="28"/>
        </w:rPr>
        <w:t>ей, а также с учетом отложенного результата, который наступает в течении 12 месяцев после завершения работы мероприятия</w:t>
      </w:r>
      <w:r w:rsidR="00950E24" w:rsidRPr="00944D26">
        <w:rPr>
          <w:rFonts w:ascii="Times New Roman" w:hAnsi="Times New Roman" w:cs="Times New Roman"/>
          <w:sz w:val="28"/>
          <w:szCs w:val="28"/>
        </w:rPr>
        <w:t>.</w:t>
      </w:r>
      <w:r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E0592" w:rsidRPr="001D000B" w:rsidRDefault="00EE0592" w:rsidP="00EE0592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Область возможного использования</w:t>
      </w:r>
      <w:r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РИД может применяться</w:t>
      </w:r>
      <w:r w:rsidRPr="00EE0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деятельности </w:t>
      </w:r>
      <w:r w:rsidR="00950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организаторов крупных международных мероприятий (Форумов)</w:t>
      </w:r>
      <w:r w:rsidRPr="00EE0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50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Заказчиков и </w:t>
      </w:r>
      <w:r w:rsidR="00950E24" w:rsidRPr="002D4A04">
        <w:rPr>
          <w:rFonts w:ascii="Times New Roman" w:hAnsi="Times New Roman" w:cs="Times New Roman"/>
          <w:sz w:val="28"/>
          <w:szCs w:val="28"/>
        </w:rPr>
        <w:t>орган</w:t>
      </w:r>
      <w:r w:rsidR="00950E24">
        <w:rPr>
          <w:rFonts w:ascii="Times New Roman" w:hAnsi="Times New Roman" w:cs="Times New Roman"/>
          <w:sz w:val="28"/>
          <w:szCs w:val="28"/>
        </w:rPr>
        <w:t>ов</w:t>
      </w:r>
      <w:r w:rsidR="00950E24" w:rsidRPr="002D4A04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</w:t>
      </w:r>
      <w:r w:rsidR="00950E24" w:rsidRPr="00EE0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оценки экономической эффективности проводимого или проведенного мероприятия, а также </w:t>
      </w:r>
      <w:r w:rsidRPr="00EE0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58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выделения </w:t>
      </w:r>
      <w:r w:rsidR="005811E6" w:rsidRPr="002D4A04">
        <w:rPr>
          <w:rFonts w:ascii="Times New Roman" w:hAnsi="Times New Roman" w:cs="Times New Roman"/>
          <w:sz w:val="28"/>
          <w:szCs w:val="28"/>
        </w:rPr>
        <w:t>субсиди</w:t>
      </w:r>
      <w:r w:rsidR="005811E6">
        <w:rPr>
          <w:rFonts w:ascii="Times New Roman" w:hAnsi="Times New Roman" w:cs="Times New Roman"/>
          <w:sz w:val="28"/>
          <w:szCs w:val="28"/>
        </w:rPr>
        <w:t>й</w:t>
      </w:r>
      <w:r w:rsidR="005811E6" w:rsidRPr="002D4A04">
        <w:rPr>
          <w:rFonts w:ascii="Times New Roman" w:hAnsi="Times New Roman" w:cs="Times New Roman"/>
          <w:sz w:val="28"/>
          <w:szCs w:val="28"/>
        </w:rPr>
        <w:t xml:space="preserve"> на возмещение затрат на реализацию мероприятий </w:t>
      </w:r>
      <w:r w:rsidR="005811E6">
        <w:rPr>
          <w:rFonts w:ascii="Times New Roman" w:hAnsi="Times New Roman" w:cs="Times New Roman"/>
          <w:sz w:val="28"/>
          <w:szCs w:val="28"/>
        </w:rPr>
        <w:t xml:space="preserve">при отмене или переносе на неопределенный срок </w:t>
      </w:r>
      <w:r w:rsidR="005811E6" w:rsidRPr="002D4A04">
        <w:rPr>
          <w:rFonts w:ascii="Times New Roman" w:hAnsi="Times New Roman" w:cs="Times New Roman"/>
          <w:sz w:val="28"/>
          <w:szCs w:val="28"/>
        </w:rPr>
        <w:t>за счет средств резервного фонда Правительства Российской Федерации в пределах лимитов бюджетных обязательств, доведенных в установленном порядке до Министерства экономического развития Российской Федерации</w:t>
      </w:r>
      <w:r w:rsidR="005811E6">
        <w:rPr>
          <w:rFonts w:ascii="Times New Roman" w:hAnsi="Times New Roman" w:cs="Times New Roman"/>
          <w:sz w:val="28"/>
          <w:szCs w:val="28"/>
        </w:rPr>
        <w:t>.</w:t>
      </w:r>
      <w:r w:rsidRPr="00EE0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0592" w:rsidRDefault="00EE0592" w:rsidP="00EE0592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Сопутствующие полезные эффекты.</w:t>
      </w:r>
      <w:r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Положительное влияние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950E24" w:rsidRPr="00D551AF">
        <w:rPr>
          <w:rFonts w:ascii="Times New Roman" w:hAnsi="Times New Roman" w:cs="Times New Roman"/>
          <w:sz w:val="28"/>
          <w:szCs w:val="28"/>
        </w:rPr>
        <w:t>систем</w:t>
      </w:r>
      <w:r w:rsidR="00950E24">
        <w:rPr>
          <w:rFonts w:ascii="Times New Roman" w:hAnsi="Times New Roman" w:cs="Times New Roman"/>
          <w:sz w:val="28"/>
          <w:szCs w:val="28"/>
        </w:rPr>
        <w:t>у</w:t>
      </w:r>
      <w:r w:rsidR="00950E24" w:rsidRPr="00D551AF">
        <w:rPr>
          <w:rFonts w:ascii="Times New Roman" w:hAnsi="Times New Roman" w:cs="Times New Roman"/>
          <w:sz w:val="28"/>
          <w:szCs w:val="28"/>
        </w:rPr>
        <w:t xml:space="preserve"> управления рисками </w:t>
      </w:r>
      <w:r w:rsidR="00950E24">
        <w:rPr>
          <w:rFonts w:ascii="Times New Roman" w:hAnsi="Times New Roman" w:cs="Times New Roman"/>
          <w:sz w:val="28"/>
          <w:szCs w:val="28"/>
        </w:rPr>
        <w:t>организаторов крупных международных мероприятий</w:t>
      </w:r>
      <w:r w:rsidR="00950E24" w:rsidRPr="00D551AF">
        <w:rPr>
          <w:rFonts w:ascii="Times New Roman" w:hAnsi="Times New Roman" w:cs="Times New Roman"/>
          <w:sz w:val="28"/>
          <w:szCs w:val="28"/>
        </w:rPr>
        <w:t xml:space="preserve">, </w:t>
      </w:r>
      <w:r w:rsidR="00950E24">
        <w:rPr>
          <w:rFonts w:ascii="Times New Roman" w:hAnsi="Times New Roman" w:cs="Times New Roman"/>
          <w:sz w:val="28"/>
          <w:szCs w:val="28"/>
        </w:rPr>
        <w:t>которые при появлении форс-мажорных обстоятельств несут ущерб</w:t>
      </w:r>
      <w:r w:rsidR="00950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позволит </w:t>
      </w:r>
      <w:r w:rsidR="00950E24" w:rsidRPr="00D551AF">
        <w:rPr>
          <w:rFonts w:ascii="Times New Roman" w:hAnsi="Times New Roman" w:cs="Times New Roman"/>
          <w:sz w:val="28"/>
          <w:szCs w:val="28"/>
        </w:rPr>
        <w:t>прогнозировать возможные риски и потери, исключив фактор неожиданности</w:t>
      </w:r>
      <w:r w:rsidR="00950E24">
        <w:rPr>
          <w:rFonts w:ascii="Times New Roman" w:hAnsi="Times New Roman" w:cs="Times New Roman"/>
          <w:sz w:val="28"/>
          <w:szCs w:val="28"/>
        </w:rPr>
        <w:t>.</w:t>
      </w:r>
    </w:p>
    <w:p w:rsidR="00FB0B01" w:rsidRDefault="00FB0B01" w:rsidP="00FB0B01">
      <w:pPr>
        <w:rPr>
          <w:rFonts w:ascii="Times New Roman" w:hAnsi="Times New Roman" w:cs="Times New Roman"/>
          <w:b/>
          <w:sz w:val="28"/>
          <w:szCs w:val="28"/>
        </w:rPr>
      </w:pPr>
    </w:p>
    <w:sectPr w:rsidR="00FB0B01" w:rsidSect="005306E0">
      <w:pgSz w:w="11906" w:h="16838" w:code="9"/>
      <w:pgMar w:top="992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5E3" w:rsidRDefault="002215E3" w:rsidP="003D3985">
      <w:pPr>
        <w:spacing w:after="0" w:line="240" w:lineRule="auto"/>
      </w:pPr>
      <w:r>
        <w:separator/>
      </w:r>
    </w:p>
  </w:endnote>
  <w:endnote w:type="continuationSeparator" w:id="0">
    <w:p w:rsidR="002215E3" w:rsidRDefault="002215E3" w:rsidP="003D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othicP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93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5E3" w:rsidRDefault="002215E3" w:rsidP="003D3985">
      <w:pPr>
        <w:spacing w:after="0" w:line="240" w:lineRule="auto"/>
      </w:pPr>
      <w:r>
        <w:separator/>
      </w:r>
    </w:p>
  </w:footnote>
  <w:footnote w:type="continuationSeparator" w:id="0">
    <w:p w:rsidR="002215E3" w:rsidRDefault="002215E3" w:rsidP="003D3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3982"/>
    <w:multiLevelType w:val="hybridMultilevel"/>
    <w:tmpl w:val="CBCAC1A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CA53E38"/>
    <w:multiLevelType w:val="hybridMultilevel"/>
    <w:tmpl w:val="C5F4DA9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48BA4273"/>
    <w:multiLevelType w:val="hybridMultilevel"/>
    <w:tmpl w:val="932A4688"/>
    <w:lvl w:ilvl="0" w:tplc="75887038">
      <w:start w:val="2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" w15:restartNumberingAfterBreak="0">
    <w:nsid w:val="49866C68"/>
    <w:multiLevelType w:val="hybridMultilevel"/>
    <w:tmpl w:val="C5F4D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B33C3"/>
    <w:multiLevelType w:val="multilevel"/>
    <w:tmpl w:val="BC5A5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68D1A17"/>
    <w:multiLevelType w:val="multilevel"/>
    <w:tmpl w:val="4864B8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775CD3"/>
    <w:multiLevelType w:val="hybridMultilevel"/>
    <w:tmpl w:val="54245DEC"/>
    <w:lvl w:ilvl="0" w:tplc="38D21CC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ED5425F"/>
    <w:multiLevelType w:val="hybridMultilevel"/>
    <w:tmpl w:val="6266405C"/>
    <w:lvl w:ilvl="0" w:tplc="17A8E38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8B27D5"/>
    <w:multiLevelType w:val="hybridMultilevel"/>
    <w:tmpl w:val="BC46532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9C"/>
    <w:rsid w:val="00067E3E"/>
    <w:rsid w:val="00091ACA"/>
    <w:rsid w:val="000A24D9"/>
    <w:rsid w:val="000B2206"/>
    <w:rsid w:val="000D17C3"/>
    <w:rsid w:val="00156DC7"/>
    <w:rsid w:val="00163599"/>
    <w:rsid w:val="00193676"/>
    <w:rsid w:val="001B4F3F"/>
    <w:rsid w:val="001B5F16"/>
    <w:rsid w:val="001C764D"/>
    <w:rsid w:val="00211E62"/>
    <w:rsid w:val="002215E3"/>
    <w:rsid w:val="00246ABC"/>
    <w:rsid w:val="0025261E"/>
    <w:rsid w:val="00261493"/>
    <w:rsid w:val="002A7E9C"/>
    <w:rsid w:val="002C3386"/>
    <w:rsid w:val="002C5745"/>
    <w:rsid w:val="003027C3"/>
    <w:rsid w:val="00306AAB"/>
    <w:rsid w:val="00320633"/>
    <w:rsid w:val="003466F4"/>
    <w:rsid w:val="00380DEE"/>
    <w:rsid w:val="00394523"/>
    <w:rsid w:val="003B359D"/>
    <w:rsid w:val="003C1B9F"/>
    <w:rsid w:val="003D3985"/>
    <w:rsid w:val="003F2239"/>
    <w:rsid w:val="003F35AC"/>
    <w:rsid w:val="004169C8"/>
    <w:rsid w:val="00432226"/>
    <w:rsid w:val="00451F52"/>
    <w:rsid w:val="00473E02"/>
    <w:rsid w:val="004851B1"/>
    <w:rsid w:val="00485B2B"/>
    <w:rsid w:val="004B2EF8"/>
    <w:rsid w:val="004B6309"/>
    <w:rsid w:val="00503C5F"/>
    <w:rsid w:val="00505CDC"/>
    <w:rsid w:val="0050641F"/>
    <w:rsid w:val="005123A8"/>
    <w:rsid w:val="005306E0"/>
    <w:rsid w:val="00533CE9"/>
    <w:rsid w:val="005374CC"/>
    <w:rsid w:val="005811E6"/>
    <w:rsid w:val="005960AA"/>
    <w:rsid w:val="0059754E"/>
    <w:rsid w:val="005D57D0"/>
    <w:rsid w:val="005E1776"/>
    <w:rsid w:val="00613F31"/>
    <w:rsid w:val="006255FF"/>
    <w:rsid w:val="006331E6"/>
    <w:rsid w:val="006432FF"/>
    <w:rsid w:val="00662C24"/>
    <w:rsid w:val="006C34FF"/>
    <w:rsid w:val="006D0E54"/>
    <w:rsid w:val="006D4681"/>
    <w:rsid w:val="006E7D51"/>
    <w:rsid w:val="0070697E"/>
    <w:rsid w:val="00720134"/>
    <w:rsid w:val="00746E68"/>
    <w:rsid w:val="00754E87"/>
    <w:rsid w:val="00760EA9"/>
    <w:rsid w:val="0076559C"/>
    <w:rsid w:val="00777B34"/>
    <w:rsid w:val="007B2AAA"/>
    <w:rsid w:val="007E6A54"/>
    <w:rsid w:val="00832D29"/>
    <w:rsid w:val="00857909"/>
    <w:rsid w:val="00883826"/>
    <w:rsid w:val="008952B4"/>
    <w:rsid w:val="008A1690"/>
    <w:rsid w:val="008A557E"/>
    <w:rsid w:val="008F7615"/>
    <w:rsid w:val="00950E24"/>
    <w:rsid w:val="00965A55"/>
    <w:rsid w:val="00991238"/>
    <w:rsid w:val="00995A6B"/>
    <w:rsid w:val="009A7E39"/>
    <w:rsid w:val="009F354E"/>
    <w:rsid w:val="009F524E"/>
    <w:rsid w:val="00A02F4B"/>
    <w:rsid w:val="00A17FF9"/>
    <w:rsid w:val="00A35F65"/>
    <w:rsid w:val="00A66357"/>
    <w:rsid w:val="00A872F0"/>
    <w:rsid w:val="00A919B6"/>
    <w:rsid w:val="00AB69E9"/>
    <w:rsid w:val="00AC2A71"/>
    <w:rsid w:val="00AD2EC0"/>
    <w:rsid w:val="00B4127A"/>
    <w:rsid w:val="00B52D2C"/>
    <w:rsid w:val="00B81498"/>
    <w:rsid w:val="00B956E2"/>
    <w:rsid w:val="00BB5C9E"/>
    <w:rsid w:val="00BE15B0"/>
    <w:rsid w:val="00BF2BC7"/>
    <w:rsid w:val="00C014A5"/>
    <w:rsid w:val="00C329D5"/>
    <w:rsid w:val="00C46F0F"/>
    <w:rsid w:val="00C667E5"/>
    <w:rsid w:val="00C725F8"/>
    <w:rsid w:val="00CA298E"/>
    <w:rsid w:val="00CB1970"/>
    <w:rsid w:val="00CC7779"/>
    <w:rsid w:val="00CD6205"/>
    <w:rsid w:val="00D04E21"/>
    <w:rsid w:val="00D0701C"/>
    <w:rsid w:val="00D20F19"/>
    <w:rsid w:val="00D56E4B"/>
    <w:rsid w:val="00D603A9"/>
    <w:rsid w:val="00D8680C"/>
    <w:rsid w:val="00D954B0"/>
    <w:rsid w:val="00DE7BE7"/>
    <w:rsid w:val="00DF38A2"/>
    <w:rsid w:val="00DF3C7B"/>
    <w:rsid w:val="00E151E9"/>
    <w:rsid w:val="00E36519"/>
    <w:rsid w:val="00E46F3D"/>
    <w:rsid w:val="00E56120"/>
    <w:rsid w:val="00E90DFD"/>
    <w:rsid w:val="00E92D29"/>
    <w:rsid w:val="00EB05F8"/>
    <w:rsid w:val="00EC05B7"/>
    <w:rsid w:val="00EE0592"/>
    <w:rsid w:val="00EF020F"/>
    <w:rsid w:val="00F26CBD"/>
    <w:rsid w:val="00F50E35"/>
    <w:rsid w:val="00F635C2"/>
    <w:rsid w:val="00F8637D"/>
    <w:rsid w:val="00FA2003"/>
    <w:rsid w:val="00FA7380"/>
    <w:rsid w:val="00FB0B01"/>
    <w:rsid w:val="00FB4008"/>
    <w:rsid w:val="00FB5345"/>
    <w:rsid w:val="00FC4587"/>
    <w:rsid w:val="00FC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6E9E8-8C25-4A1D-AC96-C59B0EE7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398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AC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D398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rsid w:val="003D39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39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rsid w:val="003D3985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No Spacing"/>
    <w:basedOn w:val="a"/>
    <w:link w:val="a6"/>
    <w:uiPriority w:val="1"/>
    <w:qFormat/>
    <w:rsid w:val="003D3985"/>
    <w:pPr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a6">
    <w:name w:val="Без интервала Знак"/>
    <w:basedOn w:val="a0"/>
    <w:link w:val="a5"/>
    <w:uiPriority w:val="1"/>
    <w:locked/>
    <w:rsid w:val="003D3985"/>
    <w:rPr>
      <w:rFonts w:ascii="Calibri" w:eastAsia="Times New Roman" w:hAnsi="Calibri" w:cs="Calibri"/>
      <w:lang w:val="en-US"/>
    </w:rPr>
  </w:style>
  <w:style w:type="paragraph" w:customStyle="1" w:styleId="a7">
    <w:name w:val="Центрированный"/>
    <w:rsid w:val="003D3985"/>
    <w:pPr>
      <w:spacing w:after="0" w:line="240" w:lineRule="auto"/>
      <w:jc w:val="center"/>
    </w:pPr>
    <w:rPr>
      <w:rFonts w:ascii="GothicPS" w:eastAsia="Times New Roman" w:hAnsi="GothicPS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D3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3985"/>
  </w:style>
  <w:style w:type="paragraph" w:styleId="aa">
    <w:name w:val="footer"/>
    <w:basedOn w:val="a"/>
    <w:link w:val="ab"/>
    <w:uiPriority w:val="99"/>
    <w:unhideWhenUsed/>
    <w:rsid w:val="003D3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3985"/>
  </w:style>
  <w:style w:type="paragraph" w:styleId="ac">
    <w:name w:val="Balloon Text"/>
    <w:basedOn w:val="a"/>
    <w:link w:val="ad"/>
    <w:uiPriority w:val="99"/>
    <w:semiHidden/>
    <w:unhideWhenUsed/>
    <w:rsid w:val="00B41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4127A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B81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unhideWhenUsed/>
    <w:rsid w:val="00246AB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46ABC"/>
    <w:rPr>
      <w:sz w:val="20"/>
      <w:szCs w:val="20"/>
    </w:rPr>
  </w:style>
  <w:style w:type="character" w:styleId="af1">
    <w:name w:val="footnote reference"/>
    <w:basedOn w:val="a0"/>
    <w:uiPriority w:val="99"/>
    <w:unhideWhenUsed/>
    <w:rsid w:val="00246ABC"/>
    <w:rPr>
      <w:vertAlign w:val="superscript"/>
    </w:rPr>
  </w:style>
  <w:style w:type="paragraph" w:customStyle="1" w:styleId="2">
    <w:name w:val="Абзац списка2"/>
    <w:basedOn w:val="a"/>
    <w:rsid w:val="00A17FF9"/>
    <w:pPr>
      <w:suppressAutoHyphens/>
      <w:spacing w:line="256" w:lineRule="auto"/>
      <w:ind w:left="720"/>
    </w:pPr>
    <w:rPr>
      <w:rFonts w:ascii="Calibri" w:eastAsia="SimSun" w:hAnsi="Calibri" w:cs="font393"/>
      <w:lang w:eastAsia="ar-SA"/>
    </w:rPr>
  </w:style>
  <w:style w:type="character" w:styleId="af2">
    <w:name w:val="Emphasis"/>
    <w:basedOn w:val="a0"/>
    <w:uiPriority w:val="20"/>
    <w:qFormat/>
    <w:rsid w:val="00A17FF9"/>
    <w:rPr>
      <w:i/>
      <w:iCs/>
    </w:rPr>
  </w:style>
  <w:style w:type="character" w:styleId="af3">
    <w:name w:val="Hyperlink"/>
    <w:basedOn w:val="a0"/>
    <w:rsid w:val="00DE7BE7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DE7BE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4">
    <w:name w:val="Подпись к таблице_"/>
    <w:basedOn w:val="a0"/>
    <w:rsid w:val="00DE7B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5">
    <w:name w:val="Основной текст_"/>
    <w:basedOn w:val="a0"/>
    <w:link w:val="13"/>
    <w:rsid w:val="00DE7BE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6">
    <w:name w:val="Подпись к таблице"/>
    <w:basedOn w:val="af4"/>
    <w:rsid w:val="00DE7B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12">
    <w:name w:val="Заголовок №1"/>
    <w:basedOn w:val="a"/>
    <w:link w:val="11"/>
    <w:rsid w:val="00DE7BE7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Основной текст1"/>
    <w:basedOn w:val="a"/>
    <w:link w:val="af5"/>
    <w:rsid w:val="00DE7BE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991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02F8DC-88E8-4432-B631-8D02CB983AE3}"/>
</file>

<file path=customXml/itemProps2.xml><?xml version="1.0" encoding="utf-8"?>
<ds:datastoreItem xmlns:ds="http://schemas.openxmlformats.org/officeDocument/2006/customXml" ds:itemID="{882CF618-8991-473A-81B9-7E72949D82F0}"/>
</file>

<file path=customXml/itemProps3.xml><?xml version="1.0" encoding="utf-8"?>
<ds:datastoreItem xmlns:ds="http://schemas.openxmlformats.org/officeDocument/2006/customXml" ds:itemID="{9226117F-9858-4556-A49C-900E99E7A8E6}"/>
</file>

<file path=customXml/itemProps4.xml><?xml version="1.0" encoding="utf-8"?>
<ds:datastoreItem xmlns:ds="http://schemas.openxmlformats.org/officeDocument/2006/customXml" ds:itemID="{DD437C76-8270-42A7-8D75-7DD150448B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Оценка экономической эффективности проведения крупных международных форумов (рекламно-техническое описание)</dc:title>
  <dc:subject/>
  <dc:creator>Белова Анастасия Игоревна</dc:creator>
  <cp:keywords/>
  <dc:description/>
  <cp:lastModifiedBy>Белгородцев Виктор Петрович</cp:lastModifiedBy>
  <cp:revision>2</cp:revision>
  <cp:lastPrinted>2018-12-13T13:53:00Z</cp:lastPrinted>
  <dcterms:created xsi:type="dcterms:W3CDTF">2021-11-10T11:22:00Z</dcterms:created>
  <dcterms:modified xsi:type="dcterms:W3CDTF">2021-11-10T11:22:00Z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