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88" w:rsidRDefault="00E06488" w:rsidP="00E06488">
      <w:pPr>
        <w:spacing w:line="276" w:lineRule="auto"/>
        <w:jc w:val="center"/>
      </w:pPr>
      <w:r>
        <w:t xml:space="preserve">Результат интеллектуальной деятельности </w:t>
      </w:r>
    </w:p>
    <w:p w:rsidR="00B1046D" w:rsidRDefault="00B1046D" w:rsidP="00E06488">
      <w:pPr>
        <w:spacing w:line="276" w:lineRule="auto"/>
        <w:jc w:val="center"/>
      </w:pPr>
      <w:r>
        <w:t>В ВИДЕ СЕКРЕТА ПРОИЗВОДСТВА (НОУ-ХАУ)</w:t>
      </w:r>
    </w:p>
    <w:p w:rsidR="00E06488" w:rsidRPr="00B1046D" w:rsidRDefault="00165D0C" w:rsidP="00B1046D">
      <w:pPr>
        <w:spacing w:line="276" w:lineRule="auto"/>
        <w:ind w:left="-284" w:right="-143"/>
        <w:jc w:val="center"/>
        <w:rPr>
          <w:b/>
        </w:rPr>
      </w:pPr>
      <w:r w:rsidRPr="00165D0C">
        <w:rPr>
          <w:b/>
        </w:rPr>
        <w:t>МЕТОДИКА ПРОВЕДЕНИЯ ФИНАНСОВОГО АНАЛИЗА ГРАЖДАНИНА КАК СУБЪЕКТА БАНКРОТСТВА</w:t>
      </w:r>
    </w:p>
    <w:p w:rsidR="00E06488" w:rsidRDefault="00E06488" w:rsidP="00E06488">
      <w:pPr>
        <w:spacing w:line="276" w:lineRule="auto"/>
        <w:jc w:val="center"/>
      </w:pPr>
      <w:r>
        <w:t>разработан в рамках научно-исследовательской работы по теме:</w:t>
      </w:r>
    </w:p>
    <w:p w:rsidR="00E06488" w:rsidRDefault="00165D0C" w:rsidP="0080406C">
      <w:pPr>
        <w:spacing w:line="276" w:lineRule="auto"/>
        <w:jc w:val="center"/>
      </w:pPr>
      <w:r w:rsidRPr="00165D0C">
        <w:t>РАЗРАБОТКА НАПРАВЛЕНИЙ СОВЕРШЕНСТВОВАНИЯ ИНСТИТУТА БАНКРОТСТВА ФИЗИЧЕСКИХ ЛИЦ В РОССИИ</w:t>
      </w:r>
    </w:p>
    <w:p w:rsidR="00E06488" w:rsidRDefault="00E06488" w:rsidP="00E06488">
      <w:pPr>
        <w:spacing w:line="276" w:lineRule="auto"/>
        <w:jc w:val="center"/>
      </w:pPr>
      <w:r>
        <w:t xml:space="preserve">выполненной </w:t>
      </w:r>
      <w:r w:rsidR="00291A97">
        <w:t xml:space="preserve">по </w:t>
      </w:r>
      <w:r>
        <w:t>государственно</w:t>
      </w:r>
      <w:r w:rsidR="00291A97">
        <w:t>му</w:t>
      </w:r>
      <w:r>
        <w:t xml:space="preserve"> задани</w:t>
      </w:r>
      <w:r w:rsidR="00291A97">
        <w:t>ю</w:t>
      </w:r>
      <w:r>
        <w:t xml:space="preserve"> на 2017 год</w:t>
      </w:r>
    </w:p>
    <w:p w:rsidR="00E06488" w:rsidRDefault="00E06488" w:rsidP="0080406C">
      <w:pPr>
        <w:spacing w:line="276" w:lineRule="auto"/>
        <w:jc w:val="center"/>
      </w:pPr>
    </w:p>
    <w:p w:rsidR="007A7BF5" w:rsidRDefault="007A7BF5" w:rsidP="0080406C">
      <w:pPr>
        <w:spacing w:line="276" w:lineRule="auto"/>
        <w:jc w:val="center"/>
      </w:pPr>
    </w:p>
    <w:p w:rsidR="007A7BF5" w:rsidRDefault="007A7BF5" w:rsidP="007A7BF5">
      <w:pPr>
        <w:spacing w:line="276" w:lineRule="auto"/>
        <w:sectPr w:rsidR="007A7BF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A7BF5" w:rsidRDefault="005E746B" w:rsidP="007A7BF5">
      <w:pPr>
        <w:spacing w:line="276" w:lineRule="auto"/>
      </w:pPr>
      <w:r>
        <w:rPr>
          <w:noProof/>
        </w:rPr>
        <w:drawing>
          <wp:inline distT="0" distB="0" distL="0" distR="0" wp14:anchorId="7AECCBCD" wp14:editId="56EC25FC">
            <wp:extent cx="2339439" cy="3159867"/>
            <wp:effectExtent l="0" t="0" r="3810" b="2540"/>
            <wp:docPr id="2" name="Рисунок 2" descr="http://www.fa.ru/priemka/magistr/list/PublishingImages/Pages/magisterskaya_programma_anticrysisni_managment/kov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fa.ru/priemka/magistr/list/PublishingImages/Pages/magisterskaya_programma_anticrysisni_managment/kova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857" cy="3226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20A" w:rsidRPr="0088520A" w:rsidRDefault="0088520A" w:rsidP="0088520A">
      <w:pPr>
        <w:spacing w:line="276" w:lineRule="auto"/>
      </w:pPr>
      <w:r w:rsidRPr="0088520A">
        <w:t>Сведения об авторе:</w:t>
      </w:r>
    </w:p>
    <w:p w:rsidR="0088520A" w:rsidRDefault="0088520A" w:rsidP="007A7BF5">
      <w:pPr>
        <w:spacing w:line="276" w:lineRule="auto"/>
      </w:pPr>
    </w:p>
    <w:p w:rsidR="007A7BF5" w:rsidRDefault="005E746B" w:rsidP="007A7BF5">
      <w:pPr>
        <w:spacing w:line="276" w:lineRule="auto"/>
      </w:pPr>
      <w:r>
        <w:t>Кован Сергей Евгеньевич</w:t>
      </w:r>
      <w:r w:rsidR="007A7BF5">
        <w:t xml:space="preserve">, </w:t>
      </w:r>
      <w:r>
        <w:t>доцент</w:t>
      </w:r>
      <w:r w:rsidR="007A7BF5">
        <w:t>, канд.</w:t>
      </w:r>
      <w:r w:rsidR="00744309">
        <w:t xml:space="preserve"> </w:t>
      </w:r>
      <w:r>
        <w:t>техн</w:t>
      </w:r>
      <w:r w:rsidR="007A7BF5">
        <w:t>.</w:t>
      </w:r>
      <w:r w:rsidR="00744309">
        <w:t xml:space="preserve"> </w:t>
      </w:r>
      <w:r w:rsidR="007A7BF5">
        <w:t xml:space="preserve">наук, </w:t>
      </w:r>
      <w:r>
        <w:t>профессор Департамента менеджмента</w:t>
      </w:r>
      <w:r w:rsidR="007A7BF5">
        <w:t>. Стаж работы в Финансовом университете с 200</w:t>
      </w:r>
      <w:r>
        <w:t>4</w:t>
      </w:r>
      <w:r w:rsidR="007A7BF5">
        <w:t xml:space="preserve"> г.</w:t>
      </w:r>
    </w:p>
    <w:p w:rsidR="0088520A" w:rsidRDefault="0088520A" w:rsidP="007A7BF5">
      <w:pPr>
        <w:spacing w:line="276" w:lineRule="auto"/>
      </w:pPr>
    </w:p>
    <w:p w:rsidR="0088520A" w:rsidRDefault="0088520A" w:rsidP="007A7BF5">
      <w:pPr>
        <w:spacing w:line="276" w:lineRule="auto"/>
      </w:pPr>
      <w:r>
        <w:t>Контакты:</w:t>
      </w:r>
    </w:p>
    <w:p w:rsidR="0088520A" w:rsidRDefault="005E746B" w:rsidP="007A7BF5">
      <w:pPr>
        <w:spacing w:line="276" w:lineRule="auto"/>
      </w:pPr>
      <w:r w:rsidRPr="005E746B">
        <w:t>+7(</w:t>
      </w:r>
      <w:r w:rsidR="00165D0C">
        <w:t>916</w:t>
      </w:r>
      <w:r w:rsidRPr="005E746B">
        <w:t>)</w:t>
      </w:r>
      <w:r w:rsidR="00165D0C">
        <w:t>958</w:t>
      </w:r>
      <w:r w:rsidRPr="005E746B">
        <w:t>-</w:t>
      </w:r>
      <w:r w:rsidR="00165D0C">
        <w:t>6517</w:t>
      </w:r>
    </w:p>
    <w:p w:rsidR="0088520A" w:rsidRPr="005E746B" w:rsidRDefault="005E746B" w:rsidP="007A7BF5">
      <w:pPr>
        <w:spacing w:line="276" w:lineRule="auto"/>
      </w:pPr>
      <w:r>
        <w:rPr>
          <w:lang w:val="en-US"/>
        </w:rPr>
        <w:t>SKovan</w:t>
      </w:r>
      <w:r w:rsidR="0088520A" w:rsidRPr="005E746B">
        <w:t>@</w:t>
      </w:r>
      <w:r w:rsidR="0088520A">
        <w:rPr>
          <w:lang w:val="en-US"/>
        </w:rPr>
        <w:t>fa</w:t>
      </w:r>
      <w:r w:rsidR="0088520A" w:rsidRPr="005E746B">
        <w:t>.</w:t>
      </w:r>
      <w:r w:rsidR="0088520A">
        <w:rPr>
          <w:lang w:val="en-US"/>
        </w:rPr>
        <w:t>ru</w:t>
      </w:r>
    </w:p>
    <w:p w:rsidR="0088520A" w:rsidRDefault="0088520A" w:rsidP="007A7BF5">
      <w:pPr>
        <w:spacing w:line="276" w:lineRule="auto"/>
        <w:sectPr w:rsidR="0088520A" w:rsidSect="0088520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88520A" w:rsidRDefault="0088520A" w:rsidP="007A7BF5">
      <w:pPr>
        <w:spacing w:line="276" w:lineRule="auto"/>
      </w:pPr>
    </w:p>
    <w:p w:rsidR="005D1F3E" w:rsidRPr="00B1046D" w:rsidRDefault="00B1046D" w:rsidP="005D1F3E">
      <w:pPr>
        <w:spacing w:line="240" w:lineRule="auto"/>
        <w:jc w:val="center"/>
      </w:pPr>
      <w:r>
        <w:t>РЕКЛАМНО-ТЕХНИЧЕСКОЕ ОПИСАНИЕ</w:t>
      </w:r>
    </w:p>
    <w:p w:rsidR="00E66F23" w:rsidRDefault="00E66F23" w:rsidP="00E66F23"/>
    <w:p w:rsidR="00165D0C" w:rsidRDefault="00165D0C" w:rsidP="008772A7">
      <w:pPr>
        <w:spacing w:line="312" w:lineRule="auto"/>
        <w:ind w:firstLine="709"/>
      </w:pPr>
      <w:r w:rsidRPr="00165D0C">
        <w:t xml:space="preserve">За время существования института потребительского банкротства в России с 1 октября 2015 года </w:t>
      </w:r>
      <w:r w:rsidR="000342D8">
        <w:t xml:space="preserve">по 31 декабря 2017 г. </w:t>
      </w:r>
      <w:r w:rsidRPr="00165D0C">
        <w:t>несостоятельными стали 50</w:t>
      </w:r>
      <w:r>
        <w:t> </w:t>
      </w:r>
      <w:r w:rsidRPr="00165D0C">
        <w:t>405</w:t>
      </w:r>
      <w:r>
        <w:t xml:space="preserve"> граждан. Это составляет</w:t>
      </w:r>
      <w:r w:rsidRPr="00165D0C">
        <w:t xml:space="preserve"> около 8% потенциальных банкротов, число которых, по оценке Объединенного кредитного бюро, </w:t>
      </w:r>
      <w:r w:rsidR="00E246D5">
        <w:t>около</w:t>
      </w:r>
      <w:r w:rsidRPr="00165D0C">
        <w:t xml:space="preserve"> 660 тыс.</w:t>
      </w:r>
    </w:p>
    <w:p w:rsidR="00E246D5" w:rsidRDefault="00B013F2" w:rsidP="008772A7">
      <w:pPr>
        <w:spacing w:line="312" w:lineRule="auto"/>
        <w:ind w:firstLine="709"/>
      </w:pPr>
      <w:r>
        <w:t xml:space="preserve">Все больше </w:t>
      </w:r>
      <w:r w:rsidR="00E246D5">
        <w:t xml:space="preserve">лиц и организаций участвуют в делах о банкротстве граждан, все больше </w:t>
      </w:r>
      <w:r>
        <w:t xml:space="preserve">арбитражных управляющих задействовано в </w:t>
      </w:r>
      <w:r w:rsidR="00E246D5">
        <w:t xml:space="preserve">этих </w:t>
      </w:r>
      <w:r>
        <w:t>процесс</w:t>
      </w:r>
      <w:r w:rsidR="00E246D5">
        <w:t>ах</w:t>
      </w:r>
      <w:r>
        <w:t xml:space="preserve">, все более сложные финансово-экономические задачи им приходится решать в соответствии с требованиями законодательства о банкротстве. </w:t>
      </w:r>
    </w:p>
    <w:p w:rsidR="00165D0C" w:rsidRDefault="00B013F2" w:rsidP="008772A7">
      <w:pPr>
        <w:spacing w:line="312" w:lineRule="auto"/>
        <w:ind w:firstLine="709"/>
      </w:pPr>
      <w:r>
        <w:t>Базовой задачей, от правильного решения которой зависят принимаемые в отношении гражданина</w:t>
      </w:r>
      <w:r w:rsidR="00E246D5">
        <w:t>-</w:t>
      </w:r>
      <w:r>
        <w:t>должника правовые действия</w:t>
      </w:r>
      <w:r w:rsidR="000A5E29">
        <w:t>,</w:t>
      </w:r>
      <w:r w:rsidR="00054DDB">
        <w:t xml:space="preserve"> является анализ финансового состояния гражданина. Проводить такой анализ арбитражный управляющий должен</w:t>
      </w:r>
      <w:r w:rsidR="00E246D5">
        <w:t xml:space="preserve"> обязательно</w:t>
      </w:r>
      <w:r w:rsidR="00054DDB">
        <w:t>, так как эт</w:t>
      </w:r>
      <w:r w:rsidR="00E246D5">
        <w:t xml:space="preserve">о </w:t>
      </w:r>
      <w:r w:rsidR="00054DDB">
        <w:t>установлен</w:t>
      </w:r>
      <w:r w:rsidR="00E246D5">
        <w:t>о</w:t>
      </w:r>
      <w:r w:rsidR="00054DDB">
        <w:t xml:space="preserve"> для него законом. </w:t>
      </w:r>
    </w:p>
    <w:p w:rsidR="000342D8" w:rsidRDefault="00054DDB" w:rsidP="008772A7">
      <w:pPr>
        <w:spacing w:line="312" w:lineRule="auto"/>
        <w:ind w:firstLine="709"/>
      </w:pPr>
      <w:r>
        <w:t xml:space="preserve">Но, анализ для граждан коренным образом отличается от аналогичного анализа для </w:t>
      </w:r>
      <w:r w:rsidR="000342D8">
        <w:t>предприятий.</w:t>
      </w:r>
      <w:r>
        <w:t xml:space="preserve"> </w:t>
      </w:r>
      <w:r w:rsidR="000342D8">
        <w:t>Г</w:t>
      </w:r>
      <w:r>
        <w:t xml:space="preserve">ражданин не оформляет бухгалтерскую отчетность, имеет имущество, которое не может </w:t>
      </w:r>
      <w:r w:rsidR="0087228D">
        <w:t xml:space="preserve">законно </w:t>
      </w:r>
      <w:r>
        <w:t xml:space="preserve">отчуждается у </w:t>
      </w:r>
      <w:r w:rsidR="0087228D">
        <w:t>него</w:t>
      </w:r>
      <w:r>
        <w:t xml:space="preserve"> и его семьи</w:t>
      </w:r>
      <w:r w:rsidR="000342D8">
        <w:t xml:space="preserve"> ни при каких условиях, может иметь несовершеннолетних детей и лиц на иждивении. И еще множество отличий, которые делают невозможным применение обычных методов финансового анализа</w:t>
      </w:r>
      <w:r w:rsidR="0087228D">
        <w:t>,</w:t>
      </w:r>
      <w:r w:rsidR="000342D8">
        <w:t xml:space="preserve"> описанных в учебниках по экономике.</w:t>
      </w:r>
    </w:p>
    <w:p w:rsidR="000342D8" w:rsidRDefault="00E246D5" w:rsidP="008772A7">
      <w:pPr>
        <w:spacing w:line="312" w:lineRule="auto"/>
        <w:ind w:firstLine="709"/>
      </w:pPr>
      <w:r>
        <w:t>В представленной методике решены указанные и иные проблемы анализа граждан как субъектов банкротства. М</w:t>
      </w:r>
      <w:r w:rsidR="000342D8">
        <w:t xml:space="preserve">етодика позволяет получить ответы на </w:t>
      </w:r>
      <w:r>
        <w:t>главные</w:t>
      </w:r>
      <w:r w:rsidR="000342D8">
        <w:t xml:space="preserve"> вопросы финансового анализа.</w:t>
      </w:r>
      <w:r>
        <w:t xml:space="preserve"> Среди них следующие.</w:t>
      </w:r>
    </w:p>
    <w:p w:rsidR="000342D8" w:rsidRDefault="000342D8" w:rsidP="008772A7">
      <w:pPr>
        <w:spacing w:line="312" w:lineRule="auto"/>
        <w:ind w:firstLine="709"/>
      </w:pPr>
      <w:r>
        <w:t>Какую информацию использовать в качестве исходной, как и у кого ее получить?</w:t>
      </w:r>
    </w:p>
    <w:p w:rsidR="000342D8" w:rsidRDefault="000342D8" w:rsidP="008772A7">
      <w:pPr>
        <w:spacing w:line="312" w:lineRule="auto"/>
        <w:ind w:firstLine="709"/>
      </w:pPr>
      <w:r>
        <w:t>Какие показатели характеризуют финансовое состояние гражданина и как их следует рассчитывать?</w:t>
      </w:r>
    </w:p>
    <w:p w:rsidR="00146489" w:rsidRDefault="00146489" w:rsidP="008772A7">
      <w:pPr>
        <w:spacing w:line="312" w:lineRule="auto"/>
        <w:ind w:firstLine="709"/>
      </w:pPr>
      <w:r>
        <w:t>Полученные в соответствии с данной методикой сведения и результаты проведенных расчетов позволяют:</w:t>
      </w:r>
    </w:p>
    <w:p w:rsidR="000342D8" w:rsidRDefault="00146489" w:rsidP="008772A7">
      <w:pPr>
        <w:spacing w:line="312" w:lineRule="auto"/>
        <w:ind w:firstLine="709"/>
      </w:pPr>
      <w:r>
        <w:t>1) составить обоснованное мнение о возможностях гражданина погасить задолженность перед кредиторами;</w:t>
      </w:r>
    </w:p>
    <w:p w:rsidR="00A0110D" w:rsidRDefault="00146489" w:rsidP="008772A7">
      <w:pPr>
        <w:spacing w:line="312" w:lineRule="auto"/>
        <w:ind w:firstLine="709"/>
      </w:pPr>
      <w:r>
        <w:t>2) оценить возможные сроки погашения задолженности в реабилитационной процедуре реструктуризации долга;</w:t>
      </w:r>
    </w:p>
    <w:p w:rsidR="00146489" w:rsidRDefault="00146489" w:rsidP="008772A7">
      <w:pPr>
        <w:spacing w:line="312" w:lineRule="auto"/>
        <w:ind w:firstLine="709"/>
      </w:pPr>
      <w:r>
        <w:t>3) стать основой для объективного анализа наличия (отсутствия</w:t>
      </w:r>
      <w:r w:rsidR="000A5E29">
        <w:t>)</w:t>
      </w:r>
      <w:r>
        <w:t xml:space="preserve"> признаков фиктивного и преднамеренного банкротства</w:t>
      </w:r>
      <w:r w:rsidR="00A0110D">
        <w:t>;</w:t>
      </w:r>
    </w:p>
    <w:p w:rsidR="00A0110D" w:rsidRDefault="0087228D" w:rsidP="008772A7">
      <w:pPr>
        <w:spacing w:line="312" w:lineRule="auto"/>
        <w:ind w:firstLine="709"/>
      </w:pPr>
      <w:r>
        <w:t>а также</w:t>
      </w:r>
      <w:r w:rsidR="00A0110D">
        <w:t xml:space="preserve"> решить еще много важных задач, возникающих в правоприменительной практике банкротства граждан.</w:t>
      </w:r>
    </w:p>
    <w:p w:rsidR="008772A7" w:rsidRDefault="008772A7" w:rsidP="008772A7">
      <w:pPr>
        <w:spacing w:line="312" w:lineRule="auto"/>
        <w:ind w:firstLine="709"/>
      </w:pPr>
      <w:r>
        <w:t xml:space="preserve">Методика основана на принципах финансового анализа, определенных законодательством и соответствует </w:t>
      </w:r>
      <w:r w:rsidR="00E246D5">
        <w:t>требованиям,</w:t>
      </w:r>
      <w:r>
        <w:t xml:space="preserve"> установленным </w:t>
      </w:r>
      <w:r w:rsidR="000A5E29">
        <w:t xml:space="preserve">Правительством РФ </w:t>
      </w:r>
      <w:r>
        <w:t>в Правилах проведения арбитражными управляющими финансового анализа.</w:t>
      </w:r>
    </w:p>
    <w:p w:rsidR="00146489" w:rsidRDefault="00397E52" w:rsidP="0087228D">
      <w:pPr>
        <w:spacing w:line="312" w:lineRule="auto"/>
        <w:ind w:firstLine="709"/>
      </w:pPr>
      <w:r>
        <w:t>Предлагаемая методика может быть полезна для действующих арбитражных управляющих и их саморегулируемых организаций, а также представлять интерес для кредиторов в делах о банкротстве граждан, включая кредитны</w:t>
      </w:r>
      <w:r w:rsidR="008772A7">
        <w:t>е</w:t>
      </w:r>
      <w:r>
        <w:t>, страховы</w:t>
      </w:r>
      <w:r w:rsidR="008772A7">
        <w:t>е</w:t>
      </w:r>
      <w:r>
        <w:t xml:space="preserve"> организаци</w:t>
      </w:r>
      <w:r w:rsidR="008772A7">
        <w:t>и</w:t>
      </w:r>
      <w:r>
        <w:t>, налоговы</w:t>
      </w:r>
      <w:r w:rsidR="0087228D">
        <w:t>е органы и других лиц.</w:t>
      </w:r>
    </w:p>
    <w:sectPr w:rsidR="00146489" w:rsidSect="007A7B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D63" w:rsidRDefault="003F2D63" w:rsidP="00A53B86">
      <w:pPr>
        <w:spacing w:line="240" w:lineRule="auto"/>
      </w:pPr>
      <w:r>
        <w:separator/>
      </w:r>
    </w:p>
  </w:endnote>
  <w:endnote w:type="continuationSeparator" w:id="0">
    <w:p w:rsidR="003F2D63" w:rsidRDefault="003F2D63" w:rsidP="00A53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D63" w:rsidRDefault="003F2D63" w:rsidP="00A53B86">
      <w:pPr>
        <w:spacing w:line="240" w:lineRule="auto"/>
      </w:pPr>
      <w:r>
        <w:separator/>
      </w:r>
    </w:p>
  </w:footnote>
  <w:footnote w:type="continuationSeparator" w:id="0">
    <w:p w:rsidR="003F2D63" w:rsidRDefault="003F2D63" w:rsidP="00A53B8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88"/>
    <w:rsid w:val="00012B19"/>
    <w:rsid w:val="00023739"/>
    <w:rsid w:val="000342D8"/>
    <w:rsid w:val="00047B26"/>
    <w:rsid w:val="00054DDB"/>
    <w:rsid w:val="000A5E29"/>
    <w:rsid w:val="000C1251"/>
    <w:rsid w:val="000E180B"/>
    <w:rsid w:val="000F7C38"/>
    <w:rsid w:val="0010074D"/>
    <w:rsid w:val="00146489"/>
    <w:rsid w:val="00165D0C"/>
    <w:rsid w:val="00172BE8"/>
    <w:rsid w:val="001A68D7"/>
    <w:rsid w:val="002053F7"/>
    <w:rsid w:val="00236396"/>
    <w:rsid w:val="00284D17"/>
    <w:rsid w:val="00291A97"/>
    <w:rsid w:val="0029483D"/>
    <w:rsid w:val="002F2833"/>
    <w:rsid w:val="003311C2"/>
    <w:rsid w:val="003350E9"/>
    <w:rsid w:val="003816E9"/>
    <w:rsid w:val="00397E52"/>
    <w:rsid w:val="003C45EA"/>
    <w:rsid w:val="003F2D63"/>
    <w:rsid w:val="003F3512"/>
    <w:rsid w:val="003F435C"/>
    <w:rsid w:val="00445638"/>
    <w:rsid w:val="00452C33"/>
    <w:rsid w:val="00470489"/>
    <w:rsid w:val="00494A6D"/>
    <w:rsid w:val="004C4601"/>
    <w:rsid w:val="004F4BB5"/>
    <w:rsid w:val="0051317A"/>
    <w:rsid w:val="0059292F"/>
    <w:rsid w:val="005C7AEC"/>
    <w:rsid w:val="005D1F3E"/>
    <w:rsid w:val="005E1D74"/>
    <w:rsid w:val="005E62C8"/>
    <w:rsid w:val="005E746B"/>
    <w:rsid w:val="006777C8"/>
    <w:rsid w:val="006813F7"/>
    <w:rsid w:val="00696DA5"/>
    <w:rsid w:val="006A4049"/>
    <w:rsid w:val="006F67DE"/>
    <w:rsid w:val="00744020"/>
    <w:rsid w:val="00744309"/>
    <w:rsid w:val="007631BC"/>
    <w:rsid w:val="00785632"/>
    <w:rsid w:val="007A7BF5"/>
    <w:rsid w:val="007E697A"/>
    <w:rsid w:val="007F45B0"/>
    <w:rsid w:val="0080406C"/>
    <w:rsid w:val="00820BEE"/>
    <w:rsid w:val="0087129C"/>
    <w:rsid w:val="0087228D"/>
    <w:rsid w:val="008772A7"/>
    <w:rsid w:val="0088520A"/>
    <w:rsid w:val="008E04B4"/>
    <w:rsid w:val="00935196"/>
    <w:rsid w:val="00954DE7"/>
    <w:rsid w:val="009A4B4E"/>
    <w:rsid w:val="009E4C7E"/>
    <w:rsid w:val="00A0110D"/>
    <w:rsid w:val="00A15DB0"/>
    <w:rsid w:val="00A53B86"/>
    <w:rsid w:val="00AC4254"/>
    <w:rsid w:val="00B013F2"/>
    <w:rsid w:val="00B1046D"/>
    <w:rsid w:val="00B15589"/>
    <w:rsid w:val="00B44760"/>
    <w:rsid w:val="00B47C70"/>
    <w:rsid w:val="00BA105C"/>
    <w:rsid w:val="00C04627"/>
    <w:rsid w:val="00C05609"/>
    <w:rsid w:val="00C0603C"/>
    <w:rsid w:val="00C06AE7"/>
    <w:rsid w:val="00C13CDD"/>
    <w:rsid w:val="00C20A52"/>
    <w:rsid w:val="00C27CE9"/>
    <w:rsid w:val="00C871C6"/>
    <w:rsid w:val="00D011D5"/>
    <w:rsid w:val="00D41210"/>
    <w:rsid w:val="00D80D77"/>
    <w:rsid w:val="00DA6C22"/>
    <w:rsid w:val="00E06488"/>
    <w:rsid w:val="00E246D5"/>
    <w:rsid w:val="00E4239A"/>
    <w:rsid w:val="00E66F23"/>
    <w:rsid w:val="00E824FA"/>
    <w:rsid w:val="00E82887"/>
    <w:rsid w:val="00E93740"/>
    <w:rsid w:val="00E95F7A"/>
    <w:rsid w:val="00EC11CC"/>
    <w:rsid w:val="00EC7EC0"/>
    <w:rsid w:val="00ED3049"/>
    <w:rsid w:val="00EE70A8"/>
    <w:rsid w:val="00EF657E"/>
    <w:rsid w:val="00F13B25"/>
    <w:rsid w:val="00F2601E"/>
    <w:rsid w:val="00F42D12"/>
    <w:rsid w:val="00F4684E"/>
    <w:rsid w:val="00F64F46"/>
    <w:rsid w:val="00FD29B5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0D1D8-F2EF-4FE2-9BF2-303B8EE7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88"/>
    <w:pPr>
      <w:spacing w:line="360" w:lineRule="auto"/>
      <w:jc w:val="both"/>
    </w:pPr>
    <w:rPr>
      <w:rFonts w:eastAsia="Calibri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06488"/>
    <w:rPr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E06488"/>
    <w:pPr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uiPriority w:val="39"/>
    <w:rsid w:val="00E66F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A53B86"/>
    <w:rPr>
      <w:sz w:val="20"/>
      <w:szCs w:val="20"/>
    </w:rPr>
  </w:style>
  <w:style w:type="character" w:customStyle="1" w:styleId="a5">
    <w:name w:val="Текст сноски Знак"/>
    <w:link w:val="a4"/>
    <w:rsid w:val="00A53B86"/>
    <w:rPr>
      <w:rFonts w:eastAsia="Calibri"/>
      <w:bCs/>
    </w:rPr>
  </w:style>
  <w:style w:type="character" w:styleId="a6">
    <w:name w:val="footnote reference"/>
    <w:rsid w:val="00A53B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140CBD0-CF1B-4973-A4AF-1C3797D52986}"/>
</file>

<file path=customXml/itemProps2.xml><?xml version="1.0" encoding="utf-8"?>
<ds:datastoreItem xmlns:ds="http://schemas.openxmlformats.org/officeDocument/2006/customXml" ds:itemID="{D9D09649-D494-4202-95E4-B2330E2A2995}"/>
</file>

<file path=customXml/itemProps3.xml><?xml version="1.0" encoding="utf-8"?>
<ds:datastoreItem xmlns:ds="http://schemas.openxmlformats.org/officeDocument/2006/customXml" ds:itemID="{FDC27D19-4501-4EC0-B704-D512201281D4}"/>
</file>

<file path=customXml/itemProps4.xml><?xml version="1.0" encoding="utf-8"?>
<ds:datastoreItem xmlns:ds="http://schemas.openxmlformats.org/officeDocument/2006/customXml" ds:itemID="{542F45DD-F606-4BF7-A188-A55B59E2A3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</vt:lpstr>
    </vt:vector>
  </TitlesOfParts>
  <Company>MoBIL GROUP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Методика проведения финансового анализа гражданина как субъекта банкротства (рекламно-техническое описание)</dc:title>
  <dc:subject/>
  <dc:creator>User</dc:creator>
  <cp:keywords/>
  <dc:description/>
  <cp:lastModifiedBy>Белгородцев Виктор Петрович</cp:lastModifiedBy>
  <cp:revision>2</cp:revision>
  <dcterms:created xsi:type="dcterms:W3CDTF">2018-04-05T11:49:00Z</dcterms:created>
  <dcterms:modified xsi:type="dcterms:W3CDTF">2018-04-05T11:49:00Z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