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97" w:rsidRDefault="00160897" w:rsidP="00160897">
      <w:pPr>
        <w:spacing w:line="276" w:lineRule="auto"/>
        <w:jc w:val="center"/>
      </w:pPr>
      <w:r w:rsidRPr="0076019D">
        <w:t xml:space="preserve">Результат интеллектуальной деятельности </w:t>
      </w:r>
    </w:p>
    <w:p w:rsidR="00465378" w:rsidRPr="0076019D" w:rsidRDefault="00465378" w:rsidP="00160897">
      <w:pPr>
        <w:spacing w:line="276" w:lineRule="auto"/>
        <w:jc w:val="center"/>
      </w:pPr>
      <w:r>
        <w:t>в виде секрета производства (ноу-хау)</w:t>
      </w:r>
    </w:p>
    <w:p w:rsidR="00EE7CBF" w:rsidRPr="00A20977" w:rsidRDefault="00EE7CBF" w:rsidP="00160897">
      <w:pPr>
        <w:spacing w:line="240" w:lineRule="auto"/>
        <w:jc w:val="center"/>
        <w:rPr>
          <w:b/>
          <w:bCs w:val="0"/>
          <w:caps/>
        </w:rPr>
      </w:pPr>
      <w:r w:rsidRPr="00A20977">
        <w:rPr>
          <w:b/>
          <w:bCs w:val="0"/>
          <w:caps/>
        </w:rPr>
        <w:t xml:space="preserve">Методические рекомендации по совершенствованию бюджетного финансирования НИР, проводимых образовательными и научными организациями Российской Федерации </w:t>
      </w:r>
    </w:p>
    <w:p w:rsidR="00160897" w:rsidRPr="0076019D" w:rsidRDefault="00160897" w:rsidP="00160897">
      <w:pPr>
        <w:spacing w:line="276" w:lineRule="auto"/>
        <w:jc w:val="center"/>
      </w:pPr>
    </w:p>
    <w:p w:rsidR="00160897" w:rsidRPr="0076019D" w:rsidRDefault="00160897" w:rsidP="00160897">
      <w:pPr>
        <w:spacing w:line="276" w:lineRule="auto"/>
        <w:jc w:val="center"/>
      </w:pPr>
      <w:r w:rsidRPr="0076019D">
        <w:t xml:space="preserve">разработан в </w:t>
      </w:r>
      <w:r w:rsidR="00905662">
        <w:t xml:space="preserve">ходе </w:t>
      </w:r>
      <w:r w:rsidRPr="0076019D">
        <w:t>научно-исследовательской работы по теме:</w:t>
      </w:r>
    </w:p>
    <w:p w:rsidR="00EE7CBF" w:rsidRPr="00A20977" w:rsidRDefault="00EE7CBF" w:rsidP="00EE7CBF">
      <w:pPr>
        <w:spacing w:line="240" w:lineRule="auto"/>
        <w:jc w:val="center"/>
        <w:rPr>
          <w:b/>
        </w:rPr>
      </w:pPr>
      <w:r w:rsidRPr="00A20977">
        <w:rPr>
          <w:b/>
          <w:caps/>
        </w:rPr>
        <w:t>Сравнение систем бюджетного финансирования научно-исследовательских работ, проводимых образовательными и научными организациями Российской Федерации, с учетом опыта стран западной Европы и азии и предложения по совершенствованию бюджетного финансирования</w:t>
      </w:r>
    </w:p>
    <w:p w:rsidR="00EE7CBF" w:rsidRPr="00A20977" w:rsidRDefault="00EE7CBF" w:rsidP="00EE7CBF">
      <w:pPr>
        <w:shd w:val="clear" w:color="auto" w:fill="FFFFFF"/>
        <w:tabs>
          <w:tab w:val="left" w:pos="295"/>
        </w:tabs>
        <w:jc w:val="center"/>
        <w:rPr>
          <w:b/>
          <w:bCs w:val="0"/>
        </w:rPr>
      </w:pPr>
      <w:r w:rsidRPr="00A20977">
        <w:rPr>
          <w:b/>
        </w:rPr>
        <w:t>(</w:t>
      </w:r>
      <w:r w:rsidRPr="00A20977">
        <w:rPr>
          <w:b/>
          <w:lang w:val="en-US"/>
        </w:rPr>
        <w:t>II</w:t>
      </w:r>
      <w:r w:rsidRPr="00A20977">
        <w:rPr>
          <w:b/>
        </w:rPr>
        <w:t xml:space="preserve"> этап)</w:t>
      </w:r>
    </w:p>
    <w:p w:rsidR="00160897" w:rsidRPr="0076019D" w:rsidRDefault="00E76BD4" w:rsidP="00160897">
      <w:pPr>
        <w:spacing w:line="276" w:lineRule="auto"/>
        <w:jc w:val="center"/>
      </w:pPr>
      <w:r w:rsidRPr="0076019D">
        <w:t>в</w:t>
      </w:r>
      <w:r w:rsidR="00160897" w:rsidRPr="0076019D">
        <w:t xml:space="preserve">ыполненной в рамках </w:t>
      </w:r>
      <w:r w:rsidR="00EE7CBF" w:rsidRPr="0076019D">
        <w:t>Государственного задания на 2017</w:t>
      </w:r>
      <w:r w:rsidR="00160897" w:rsidRPr="0076019D">
        <w:t xml:space="preserve"> год</w:t>
      </w:r>
    </w:p>
    <w:p w:rsidR="00160897" w:rsidRDefault="005D2892" w:rsidP="0016089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9FE45" wp14:editId="526C6226">
                <wp:simplePos x="0" y="0"/>
                <wp:positionH relativeFrom="column">
                  <wp:posOffset>2958465</wp:posOffset>
                </wp:positionH>
                <wp:positionV relativeFrom="paragraph">
                  <wp:posOffset>236220</wp:posOffset>
                </wp:positionV>
                <wp:extent cx="3305175" cy="31718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2892" w:rsidRPr="008B376E" w:rsidRDefault="005D2892" w:rsidP="005D2892">
                            <w:r w:rsidRPr="008B376E">
                              <w:t>Сведения об авторе:</w:t>
                            </w:r>
                          </w:p>
                          <w:p w:rsidR="005D2892" w:rsidRDefault="005D2892" w:rsidP="005D2892">
                            <w:pPr>
                              <w:spacing w:line="240" w:lineRule="auto"/>
                              <w:ind w:firstLine="709"/>
                            </w:pPr>
                            <w:r w:rsidRPr="008B376E">
                              <w:t xml:space="preserve">Эскиндаров Михаил Абдурахманович, </w:t>
                            </w:r>
                            <w:r w:rsidRPr="00327E44">
                              <w:t xml:space="preserve">доктор </w:t>
                            </w:r>
                            <w:r>
                              <w:t>эконом. наук, профессор, з</w:t>
                            </w:r>
                            <w:r w:rsidRPr="00327E44">
                              <w:t>аслуженный деятель науки Российской Федерации, академик Российской академии образования</w:t>
                            </w:r>
                            <w:r>
                              <w:t xml:space="preserve">, </w:t>
                            </w:r>
                            <w:r w:rsidRPr="00327E44">
                              <w:t>р</w:t>
                            </w:r>
                            <w:r>
                              <w:t>ектор Финансового университета при Правительстве РФ</w:t>
                            </w:r>
                          </w:p>
                          <w:p w:rsidR="005D2892" w:rsidRDefault="005D2892" w:rsidP="005D2892">
                            <w:pPr>
                              <w:spacing w:line="240" w:lineRule="auto"/>
                              <w:ind w:firstLine="709"/>
                            </w:pPr>
                          </w:p>
                          <w:p w:rsidR="005D2892" w:rsidRDefault="005D2892" w:rsidP="005D2892">
                            <w:pPr>
                              <w:spacing w:line="240" w:lineRule="auto"/>
                              <w:ind w:firstLine="709"/>
                            </w:pPr>
                            <w:r>
                              <w:t>Контакты:</w:t>
                            </w:r>
                          </w:p>
                          <w:p w:rsidR="005D2892" w:rsidRPr="008B376E" w:rsidRDefault="005D2892" w:rsidP="005D2892">
                            <w:pPr>
                              <w:spacing w:line="240" w:lineRule="auto"/>
                              <w:ind w:firstLine="709"/>
                            </w:pPr>
                            <w:r w:rsidRPr="00327E44">
                              <w:t>Приемная: (499) 943-9580, academy@fa.ru</w:t>
                            </w:r>
                          </w:p>
                          <w:p w:rsidR="005D2892" w:rsidRDefault="005D2892" w:rsidP="005D2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FE4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32.95pt;margin-top:18.6pt;width:260.25pt;height:2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" filled="f" stroked="f">
                <v:textbox>
                  <w:txbxContent>
                    <w:p w:rsidR="005D2892" w:rsidRPr="008B376E" w:rsidRDefault="005D2892" w:rsidP="005D2892">
                      <w:r w:rsidRPr="008B376E">
                        <w:t>Сведения об авторе:</w:t>
                      </w:r>
                    </w:p>
                    <w:p w:rsidR="005D2892" w:rsidRDefault="005D2892" w:rsidP="005D2892">
                      <w:pPr>
                        <w:spacing w:line="240" w:lineRule="auto"/>
                        <w:ind w:firstLine="709"/>
                      </w:pPr>
                      <w:r w:rsidRPr="008B376E">
                        <w:t xml:space="preserve">Эскиндаров Михаил Абдурахманович, </w:t>
                      </w:r>
                      <w:r w:rsidRPr="00327E44">
                        <w:t xml:space="preserve">доктор </w:t>
                      </w:r>
                      <w:r>
                        <w:t>эконом. наук, профессор, з</w:t>
                      </w:r>
                      <w:r w:rsidRPr="00327E44">
                        <w:t>аслуженный деятель науки Российской Федерации, академик Российской академии образования</w:t>
                      </w:r>
                      <w:r>
                        <w:t xml:space="preserve">, </w:t>
                      </w:r>
                      <w:r w:rsidRPr="00327E44">
                        <w:t>р</w:t>
                      </w:r>
                      <w:r>
                        <w:t>ектор Финансового университета при Правительстве РФ</w:t>
                      </w:r>
                    </w:p>
                    <w:p w:rsidR="005D2892" w:rsidRDefault="005D2892" w:rsidP="005D2892">
                      <w:pPr>
                        <w:spacing w:line="240" w:lineRule="auto"/>
                        <w:ind w:firstLine="709"/>
                      </w:pPr>
                    </w:p>
                    <w:p w:rsidR="005D2892" w:rsidRDefault="005D2892" w:rsidP="005D2892">
                      <w:pPr>
                        <w:spacing w:line="240" w:lineRule="auto"/>
                        <w:ind w:firstLine="709"/>
                      </w:pPr>
                      <w:r>
                        <w:t>Контакты:</w:t>
                      </w:r>
                    </w:p>
                    <w:p w:rsidR="005D2892" w:rsidRPr="008B376E" w:rsidRDefault="005D2892" w:rsidP="005D2892">
                      <w:pPr>
                        <w:spacing w:line="240" w:lineRule="auto"/>
                        <w:ind w:firstLine="709"/>
                      </w:pPr>
                      <w:r w:rsidRPr="00327E44">
                        <w:t>Приемная: (499) 943-9580, academy@fa.ru</w:t>
                      </w:r>
                    </w:p>
                    <w:p w:rsidR="005D2892" w:rsidRDefault="005D2892" w:rsidP="005D2892"/>
                  </w:txbxContent>
                </v:textbox>
              </v:shape>
            </w:pict>
          </mc:Fallback>
        </mc:AlternateContent>
      </w:r>
    </w:p>
    <w:p w:rsidR="00A20977" w:rsidRDefault="008B376E" w:rsidP="00160897">
      <w:pPr>
        <w:spacing w:line="276" w:lineRule="auto"/>
      </w:pPr>
      <w:r w:rsidRPr="008B376E">
        <w:rPr>
          <w:noProof/>
        </w:rPr>
        <w:drawing>
          <wp:inline distT="0" distB="0" distL="0" distR="0">
            <wp:extent cx="2524125" cy="3209925"/>
            <wp:effectExtent l="0" t="0" r="9525" b="9525"/>
            <wp:docPr id="1" name="Рисунок 1" descr="D:\Мои документы\Загрузки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977" w:rsidRDefault="00A20977" w:rsidP="00160897">
      <w:pPr>
        <w:spacing w:line="276" w:lineRule="auto"/>
      </w:pPr>
    </w:p>
    <w:p w:rsidR="00A20977" w:rsidRDefault="00A20977" w:rsidP="00160897">
      <w:pPr>
        <w:spacing w:line="276" w:lineRule="auto"/>
      </w:pPr>
    </w:p>
    <w:p w:rsidR="00160897" w:rsidRPr="0076019D" w:rsidRDefault="005D2892" w:rsidP="00EE7CBF">
      <w:pPr>
        <w:spacing w:after="160" w:line="259" w:lineRule="auto"/>
        <w:jc w:val="center"/>
      </w:pPr>
      <w:r>
        <w:t>Р</w:t>
      </w:r>
      <w:r w:rsidR="00905662">
        <w:t xml:space="preserve">ЕКЛАМНО-ТЕХНИЧЕСКОЕ </w:t>
      </w:r>
      <w:r w:rsidR="00E76BD4" w:rsidRPr="0076019D">
        <w:t xml:space="preserve">ОПИСАНИЕ </w:t>
      </w:r>
      <w:r w:rsidR="00160897" w:rsidRPr="0076019D">
        <w:t>РЕЗУЛЬТАТА ИНТЕЛЛЕКТУАЛЬНОЙ ДЕЯТЕЛЬНОСТИ</w:t>
      </w:r>
    </w:p>
    <w:p w:rsidR="0076019D" w:rsidRDefault="0076019D" w:rsidP="00450622">
      <w:pPr>
        <w:ind w:firstLine="709"/>
      </w:pPr>
    </w:p>
    <w:p w:rsidR="00836DEF" w:rsidRPr="0076019D" w:rsidRDefault="0076019D" w:rsidP="00450622">
      <w:pPr>
        <w:ind w:firstLine="709"/>
      </w:pPr>
      <w:r w:rsidRPr="0076019D">
        <w:t>Проведенное исследование показывает, что бюджетное финансирование НИР, осуществляемых государственными высшими учебными заведениями и научными организациями,  в мировой практике осуществляется на основе сочетания двух форм прямой поддержки: в форме финансирования научной или образовательной организации и в форме конкурсного распределения средств на проведение фундаментальных и поисковых исследований (система грантов) и реализацию заданий государственных научно-технических программ (система контрактов).</w:t>
      </w:r>
    </w:p>
    <w:p w:rsidR="0076019D" w:rsidRPr="0076019D" w:rsidRDefault="0076019D" w:rsidP="0076019D">
      <w:pPr>
        <w:pStyle w:val="ab"/>
        <w:spacing w:before="0" w:beforeAutospacing="0" w:after="0" w:afterAutospacing="0"/>
        <w:ind w:firstLine="709"/>
        <w:rPr>
          <w:color w:val="auto"/>
        </w:rPr>
      </w:pPr>
      <w:r w:rsidRPr="0076019D">
        <w:rPr>
          <w:color w:val="auto"/>
        </w:rPr>
        <w:t xml:space="preserve">В работе показано, что приоритетной в настоящее время является форма распределения бюджетных средств на основе параллельных конкурсных исследований и разработок по наиболее важным проблемам науки и техники – форма конкурсного распределения средств, способствующая формированию конкурентной среды в научной сфере. При этом возможна двоякая форма проведения конкурсов на получение государственных заказов для осуществления НИР: </w:t>
      </w:r>
      <w:r w:rsidRPr="0076019D">
        <w:rPr>
          <w:i/>
          <w:color w:val="auto"/>
        </w:rPr>
        <w:t>выделение</w:t>
      </w:r>
      <w:r w:rsidRPr="0076019D">
        <w:rPr>
          <w:color w:val="auto"/>
        </w:rPr>
        <w:t xml:space="preserve"> госзаказа на конкурсной основе и </w:t>
      </w:r>
      <w:r w:rsidRPr="0076019D">
        <w:rPr>
          <w:i/>
          <w:color w:val="auto"/>
        </w:rPr>
        <w:t>выполнение</w:t>
      </w:r>
      <w:r w:rsidRPr="0076019D">
        <w:rPr>
          <w:color w:val="auto"/>
        </w:rPr>
        <w:t xml:space="preserve"> госзаказа на конкурсной основе. </w:t>
      </w:r>
    </w:p>
    <w:p w:rsidR="0076019D" w:rsidRPr="0076019D" w:rsidRDefault="0076019D" w:rsidP="0076019D">
      <w:pPr>
        <w:pStyle w:val="ab"/>
        <w:spacing w:before="0" w:beforeAutospacing="0" w:after="0" w:afterAutospacing="0"/>
        <w:ind w:firstLine="709"/>
        <w:rPr>
          <w:color w:val="auto"/>
        </w:rPr>
      </w:pPr>
      <w:r w:rsidRPr="0076019D">
        <w:rPr>
          <w:color w:val="auto"/>
        </w:rPr>
        <w:t xml:space="preserve">В рамках таких механизмов бюджетного </w:t>
      </w:r>
      <w:proofErr w:type="gramStart"/>
      <w:r w:rsidRPr="0076019D">
        <w:rPr>
          <w:color w:val="auto"/>
        </w:rPr>
        <w:t>финансирования  повышается</w:t>
      </w:r>
      <w:proofErr w:type="gramEnd"/>
      <w:r w:rsidRPr="0076019D">
        <w:rPr>
          <w:color w:val="auto"/>
        </w:rPr>
        <w:t xml:space="preserve"> актуальность решения проблемы определения критериев отбора научных разработок для финансирования за счет бюджетных средств, а также формирования системы количественных и качественных показателей для оценки эффективности и результативности использования бюджетных средств, выделенных образовательным и научным организациям для финансирования НИР.</w:t>
      </w:r>
    </w:p>
    <w:p w:rsidR="0076019D" w:rsidRPr="0076019D" w:rsidRDefault="0076019D" w:rsidP="0076019D">
      <w:pPr>
        <w:pStyle w:val="ab"/>
        <w:spacing w:before="0" w:beforeAutospacing="0" w:after="0" w:afterAutospacing="0"/>
        <w:ind w:firstLine="709"/>
        <w:rPr>
          <w:color w:val="auto"/>
        </w:rPr>
      </w:pPr>
      <w:r w:rsidRPr="0076019D">
        <w:rPr>
          <w:color w:val="auto"/>
        </w:rPr>
        <w:t>В работе показано, что к основным критериям отбора с учетом результатов анализа зарубежного и отечественного опыта можно отнести:</w:t>
      </w:r>
    </w:p>
    <w:p w:rsidR="0076019D" w:rsidRPr="0076019D" w:rsidRDefault="0076019D" w:rsidP="0076019D">
      <w:pPr>
        <w:pStyle w:val="ab"/>
        <w:spacing w:before="0" w:beforeAutospacing="0" w:after="0" w:afterAutospacing="0"/>
        <w:ind w:firstLine="709"/>
        <w:rPr>
          <w:rFonts w:eastAsia="Times New Roman"/>
          <w:color w:val="auto"/>
        </w:rPr>
      </w:pPr>
      <w:r w:rsidRPr="0076019D">
        <w:rPr>
          <w:color w:val="auto"/>
        </w:rPr>
        <w:t xml:space="preserve">1) </w:t>
      </w:r>
      <w:proofErr w:type="gramStart"/>
      <w:r w:rsidRPr="0076019D">
        <w:rPr>
          <w:rFonts w:eastAsia="Times New Roman"/>
          <w:color w:val="auto"/>
        </w:rPr>
        <w:t>Предназначение  исследование</w:t>
      </w:r>
      <w:proofErr w:type="gramEnd"/>
      <w:r w:rsidRPr="0076019D">
        <w:rPr>
          <w:rFonts w:eastAsia="Times New Roman"/>
          <w:color w:val="auto"/>
        </w:rPr>
        <w:t xml:space="preserve"> (прикладное или фундаментальное);</w:t>
      </w:r>
    </w:p>
    <w:p w:rsidR="0076019D" w:rsidRPr="0076019D" w:rsidRDefault="0076019D" w:rsidP="0076019D">
      <w:pPr>
        <w:ind w:firstLine="709"/>
      </w:pPr>
      <w:r w:rsidRPr="0076019D">
        <w:t xml:space="preserve">2) Обеспечение получения результатов, обладающих воздействием </w:t>
      </w:r>
      <w:proofErr w:type="gramStart"/>
      <w:r w:rsidRPr="0076019D">
        <w:t>на  поддержание</w:t>
      </w:r>
      <w:proofErr w:type="gramEnd"/>
      <w:r w:rsidRPr="0076019D">
        <w:t xml:space="preserve"> национального потенциала и международной конкурентоспособности;</w:t>
      </w:r>
    </w:p>
    <w:p w:rsidR="0076019D" w:rsidRPr="0076019D" w:rsidRDefault="0076019D" w:rsidP="0076019D">
      <w:pPr>
        <w:ind w:firstLine="709"/>
      </w:pPr>
      <w:r w:rsidRPr="0076019D">
        <w:t xml:space="preserve">3) </w:t>
      </w:r>
      <w:proofErr w:type="gramStart"/>
      <w:r w:rsidRPr="0076019D">
        <w:t>Максимальный  вклад</w:t>
      </w:r>
      <w:proofErr w:type="gramEnd"/>
      <w:r w:rsidRPr="0076019D">
        <w:t xml:space="preserve"> в экономический рост;</w:t>
      </w:r>
    </w:p>
    <w:p w:rsidR="0076019D" w:rsidRPr="0076019D" w:rsidRDefault="0076019D" w:rsidP="0076019D">
      <w:pPr>
        <w:ind w:firstLine="709"/>
      </w:pPr>
      <w:r w:rsidRPr="0076019D">
        <w:t>4) Повышение эффективности научно-исследовательской базы;</w:t>
      </w:r>
    </w:p>
    <w:p w:rsidR="0076019D" w:rsidRPr="0076019D" w:rsidRDefault="0076019D" w:rsidP="0076019D">
      <w:pPr>
        <w:ind w:firstLine="709"/>
      </w:pPr>
      <w:r w:rsidRPr="0076019D">
        <w:t xml:space="preserve">5) Максимизация получения средств от частных, благотворительных и международных источников финансирования </w:t>
      </w:r>
      <w:proofErr w:type="gramStart"/>
      <w:r w:rsidRPr="0076019D">
        <w:t>( при</w:t>
      </w:r>
      <w:proofErr w:type="gramEnd"/>
      <w:r w:rsidRPr="0076019D">
        <w:t xml:space="preserve"> поддержке государством целесообразности проводимых разработок);</w:t>
      </w:r>
    </w:p>
    <w:p w:rsidR="0076019D" w:rsidRPr="0076019D" w:rsidRDefault="0076019D" w:rsidP="0076019D">
      <w:pPr>
        <w:ind w:firstLine="709"/>
      </w:pPr>
      <w:r w:rsidRPr="0076019D">
        <w:t xml:space="preserve">6) Поддержание притока новых </w:t>
      </w:r>
      <w:proofErr w:type="gramStart"/>
      <w:r w:rsidRPr="0076019D">
        <w:t>исследователей  и</w:t>
      </w:r>
      <w:proofErr w:type="gramEnd"/>
      <w:r w:rsidRPr="0076019D">
        <w:t xml:space="preserve"> ученых,  высокого уровня квалификации  специалистов.</w:t>
      </w:r>
    </w:p>
    <w:p w:rsidR="0076019D" w:rsidRPr="0076019D" w:rsidRDefault="0076019D" w:rsidP="0076019D">
      <w:pPr>
        <w:ind w:firstLine="709"/>
      </w:pPr>
      <w:r w:rsidRPr="0076019D">
        <w:t xml:space="preserve">По результатам анализа отечественного и зарубежного опыта программного и проектного финансирования НИР за счет бюджетных средств в работе </w:t>
      </w:r>
      <w:proofErr w:type="spellStart"/>
      <w:r w:rsidRPr="0076019D">
        <w:t>предлажено</w:t>
      </w:r>
      <w:proofErr w:type="spellEnd"/>
      <w:r w:rsidRPr="0076019D">
        <w:t xml:space="preserve"> доработать целевые индикаторы Государственной программы Российской Федерации «Развитие науки и технологий» на 2013-2020 годы, входящих в нее подпрограмм и ФЦП, чтобы они были в большей степени увязаны со стратегическими целями научно-технологического развития Российской Федерации, обозначенными в Стратегии научно-технологического развития Российской Федерации, Указе Президента Российской Федерации от 07.05.2012 г. № 599 «О мерах по реализации государственной политики в области образования и науки» и иных документах стратегического планирования в научной сфере. Такой подход позволит в дальнейшем оценить реальные результаты развития научной отрасли и вклад участников программы в реализацию государственных стратегических документов. </w:t>
      </w:r>
    </w:p>
    <w:p w:rsidR="0076019D" w:rsidRPr="0076019D" w:rsidRDefault="0076019D" w:rsidP="0076019D">
      <w:pPr>
        <w:ind w:firstLine="709"/>
      </w:pPr>
      <w:r w:rsidRPr="0076019D">
        <w:t xml:space="preserve">С целью оптимизации механизмов контроля, учета результатов, </w:t>
      </w:r>
      <w:proofErr w:type="gramStart"/>
      <w:r w:rsidRPr="0076019D">
        <w:t>экспертизы и обеспечения комплексной межведомственной оценки результативности</w:t>
      </w:r>
      <w:proofErr w:type="gramEnd"/>
      <w:r w:rsidRPr="0076019D">
        <w:t xml:space="preserve"> выполняемых НИР в работе предложено:</w:t>
      </w:r>
    </w:p>
    <w:p w:rsidR="0076019D" w:rsidRPr="0076019D" w:rsidRDefault="0076019D" w:rsidP="0076019D">
      <w:pPr>
        <w:ind w:firstLine="709"/>
      </w:pPr>
      <w:r w:rsidRPr="0076019D">
        <w:t>- использовать опыт Австрии, Германии и Великобритании, применяющих методики планирования выделения бюджетных средств на научные исследования и разработки на очередной финансовый год, в которых учитываются результаты оценки качества НИР, проведенных ранее получателями бюджетных средств, а в Великобритании на основе оценок качества НИР составляется профиль качества научных организаций. В результате достигается прямая зависимость между размером финансирования НИР и качеством выполнения научных исследований;</w:t>
      </w:r>
    </w:p>
    <w:p w:rsidR="0076019D" w:rsidRPr="0076019D" w:rsidRDefault="0076019D" w:rsidP="0076019D">
      <w:pPr>
        <w:autoSpaceDE w:val="0"/>
        <w:autoSpaceDN w:val="0"/>
        <w:adjustRightInd w:val="0"/>
        <w:ind w:firstLine="709"/>
      </w:pPr>
      <w:r w:rsidRPr="0076019D">
        <w:t xml:space="preserve">- использовать опыт зарубежных стран в части подписания соглашения между правительством (или ответственным федеральным министерством) и научным фондом, в котором объем финансирования деятельности фонда за счет бюджетных средств ставится в зависимости от достижения установленных в соглашении показателей результативности его деятельности. Представляется обоснованным рекомендовать заключать такие соглашения между Правительством РФ или Минобрнауки России с российскими научными фондами – РФФИ и РНФ, закрепив в них показатели, предполагающие оценку деятельности фонда или оценку результативности расходования субсидии, выделяемой из федерального бюджета, с учетом целевых индикаторов, установленных в государственных стратегических документах, определяющих стратегические приоритеты и направления развития в сфере науки; </w:t>
      </w:r>
    </w:p>
    <w:p w:rsidR="0076019D" w:rsidRPr="0076019D" w:rsidRDefault="0076019D" w:rsidP="0076019D">
      <w:pPr>
        <w:ind w:firstLine="709"/>
        <w:rPr>
          <w:bCs w:val="0"/>
        </w:rPr>
      </w:pPr>
      <w:r w:rsidRPr="0076019D">
        <w:t xml:space="preserve">- в целях усиления контроля за эффективностью распределения средств федерального бюджета на НИР на конкурсной основе Российским фондом фундаментальных исследований (РФФИ) и Российским научным фондом (РНФ), основываясь на зарубежном опыте функционирования подобных фондов, считаем необходимым совершенствовать их деятельность в части проверки целевого использования средств грантов, мониторинга и анализа результатов поддержанных научных проектов, сделав ее более нормативно оформленной внутренними документами фонда, прозрачной, подотчетной и открытой широкой общественности; </w:t>
      </w:r>
    </w:p>
    <w:p w:rsidR="0076019D" w:rsidRPr="0076019D" w:rsidRDefault="0076019D" w:rsidP="0076019D">
      <w:pPr>
        <w:ind w:firstLine="709"/>
        <w:rPr>
          <w:szCs w:val="21"/>
        </w:rPr>
      </w:pPr>
      <w:r w:rsidRPr="0076019D">
        <w:t xml:space="preserve">- в целях ориентации на качество результатов и эффективность научной деятельности при выделении бюджетных средств на </w:t>
      </w:r>
      <w:proofErr w:type="spellStart"/>
      <w:r w:rsidRPr="0076019D">
        <w:t>грантовой</w:t>
      </w:r>
      <w:proofErr w:type="spellEnd"/>
      <w:r w:rsidRPr="0076019D">
        <w:t xml:space="preserve"> основе важно внедрить в деятельность РФФИ и РНФ зарубежный опыт проверки достоверности отчетных данных </w:t>
      </w:r>
      <w:proofErr w:type="spellStart"/>
      <w:r w:rsidRPr="0076019D">
        <w:t>грантополучателей</w:t>
      </w:r>
      <w:proofErr w:type="spellEnd"/>
      <w:r w:rsidRPr="0076019D">
        <w:t xml:space="preserve"> – юридических и физических лиц о результатах исследовательской деятельности (РИД), учет РИД, мониторинг оценки проекта научным сообществом в соответствующей области научного знания после опубликования результатов НИР в научных журналах;</w:t>
      </w:r>
    </w:p>
    <w:p w:rsidR="0076019D" w:rsidRPr="0076019D" w:rsidRDefault="0076019D" w:rsidP="0076019D">
      <w:pPr>
        <w:ind w:firstLine="709"/>
        <w:rPr>
          <w:szCs w:val="21"/>
        </w:rPr>
      </w:pPr>
      <w:r w:rsidRPr="0076019D">
        <w:t xml:space="preserve">- наиболее эффективны по соотношению затраты/результаты небольшие проекты и программы. Это подтверждает исторический опыт развития мирового НТП. </w:t>
      </w:r>
      <w:r w:rsidRPr="0076019D">
        <w:rPr>
          <w:szCs w:val="21"/>
        </w:rPr>
        <w:t>Результаты по конкретным задачам небольших программ легче отслеживать и оценивать. Преимущества:</w:t>
      </w:r>
    </w:p>
    <w:p w:rsidR="0076019D" w:rsidRPr="0076019D" w:rsidRDefault="0076019D" w:rsidP="0076019D">
      <w:pPr>
        <w:numPr>
          <w:ilvl w:val="0"/>
          <w:numId w:val="45"/>
        </w:numPr>
        <w:ind w:left="0" w:firstLine="709"/>
        <w:rPr>
          <w:szCs w:val="21"/>
        </w:rPr>
      </w:pPr>
      <w:r w:rsidRPr="0076019D">
        <w:rPr>
          <w:szCs w:val="21"/>
        </w:rPr>
        <w:t>сроки выполнения программ будут короче, быстрее будет отдача от них;</w:t>
      </w:r>
    </w:p>
    <w:p w:rsidR="0076019D" w:rsidRPr="0076019D" w:rsidRDefault="0076019D" w:rsidP="0076019D">
      <w:pPr>
        <w:numPr>
          <w:ilvl w:val="0"/>
          <w:numId w:val="45"/>
        </w:numPr>
        <w:ind w:left="0" w:firstLine="709"/>
        <w:rPr>
          <w:szCs w:val="21"/>
        </w:rPr>
      </w:pPr>
      <w:r w:rsidRPr="0076019D">
        <w:rPr>
          <w:szCs w:val="21"/>
        </w:rPr>
        <w:t>удешевление для государства финансирования НИР в целом;</w:t>
      </w:r>
    </w:p>
    <w:p w:rsidR="0076019D" w:rsidRPr="0076019D" w:rsidRDefault="0076019D" w:rsidP="000C42F7">
      <w:pPr>
        <w:numPr>
          <w:ilvl w:val="0"/>
          <w:numId w:val="45"/>
        </w:numPr>
        <w:ind w:left="0" w:firstLine="709"/>
      </w:pPr>
      <w:r w:rsidRPr="00905662">
        <w:rPr>
          <w:szCs w:val="21"/>
        </w:rPr>
        <w:t>слабее будет влияние лоббистов на отбор программ для финансирования – влиятельным лоббистам мелкие проекты не интересны.</w:t>
      </w:r>
    </w:p>
    <w:sectPr w:rsidR="0076019D" w:rsidRPr="0076019D" w:rsidSect="0076019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AF" w:rsidRDefault="00A11DAF" w:rsidP="00836DEF">
      <w:pPr>
        <w:spacing w:line="240" w:lineRule="auto"/>
      </w:pPr>
      <w:r>
        <w:separator/>
      </w:r>
    </w:p>
  </w:endnote>
  <w:endnote w:type="continuationSeparator" w:id="0">
    <w:p w:rsidR="00A11DAF" w:rsidRDefault="00A11DAF" w:rsidP="0083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9D" w:rsidRDefault="0076019D" w:rsidP="00B32466">
    <w:pPr>
      <w:pStyle w:val="a6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6019D" w:rsidRDefault="00760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9D" w:rsidRPr="0076019D" w:rsidRDefault="0076019D" w:rsidP="00B32466">
    <w:pPr>
      <w:pStyle w:val="a6"/>
      <w:framePr w:wrap="around" w:vAnchor="text" w:hAnchor="margin" w:xAlign="center" w:y="1"/>
      <w:rPr>
        <w:rStyle w:val="aff1"/>
        <w:sz w:val="22"/>
        <w:szCs w:val="22"/>
      </w:rPr>
    </w:pPr>
    <w:r w:rsidRPr="0076019D">
      <w:rPr>
        <w:rStyle w:val="aff1"/>
        <w:sz w:val="22"/>
        <w:szCs w:val="22"/>
      </w:rPr>
      <w:fldChar w:fldCharType="begin"/>
    </w:r>
    <w:r w:rsidRPr="0076019D">
      <w:rPr>
        <w:rStyle w:val="aff1"/>
        <w:sz w:val="22"/>
        <w:szCs w:val="22"/>
      </w:rPr>
      <w:instrText xml:space="preserve">PAGE  </w:instrText>
    </w:r>
    <w:r w:rsidRPr="0076019D">
      <w:rPr>
        <w:rStyle w:val="aff1"/>
        <w:sz w:val="22"/>
        <w:szCs w:val="22"/>
      </w:rPr>
      <w:fldChar w:fldCharType="separate"/>
    </w:r>
    <w:r w:rsidR="00AC180C">
      <w:rPr>
        <w:rStyle w:val="aff1"/>
        <w:noProof/>
        <w:sz w:val="22"/>
        <w:szCs w:val="22"/>
      </w:rPr>
      <w:t>5</w:t>
    </w:r>
    <w:r w:rsidRPr="0076019D">
      <w:rPr>
        <w:rStyle w:val="aff1"/>
        <w:sz w:val="22"/>
        <w:szCs w:val="22"/>
      </w:rPr>
      <w:fldChar w:fldCharType="end"/>
    </w:r>
  </w:p>
  <w:p w:rsidR="0076019D" w:rsidRDefault="00760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AF" w:rsidRDefault="00A11DAF" w:rsidP="00836DEF">
      <w:pPr>
        <w:spacing w:line="240" w:lineRule="auto"/>
      </w:pPr>
      <w:r>
        <w:separator/>
      </w:r>
    </w:p>
  </w:footnote>
  <w:footnote w:type="continuationSeparator" w:id="0">
    <w:p w:rsidR="00A11DAF" w:rsidRDefault="00A11DAF" w:rsidP="00836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E00"/>
    <w:multiLevelType w:val="hybridMultilevel"/>
    <w:tmpl w:val="37D66B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77B"/>
    <w:multiLevelType w:val="hybridMultilevel"/>
    <w:tmpl w:val="68B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61F"/>
    <w:multiLevelType w:val="hybridMultilevel"/>
    <w:tmpl w:val="94DA1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59C8"/>
    <w:multiLevelType w:val="hybridMultilevel"/>
    <w:tmpl w:val="0FD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314"/>
    <w:multiLevelType w:val="hybridMultilevel"/>
    <w:tmpl w:val="249C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C3284"/>
    <w:multiLevelType w:val="hybridMultilevel"/>
    <w:tmpl w:val="7416C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02B3"/>
    <w:multiLevelType w:val="hybridMultilevel"/>
    <w:tmpl w:val="89DC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03B"/>
    <w:multiLevelType w:val="hybridMultilevel"/>
    <w:tmpl w:val="6CC660F8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36F"/>
    <w:multiLevelType w:val="hybridMultilevel"/>
    <w:tmpl w:val="DF0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3708"/>
    <w:multiLevelType w:val="multilevel"/>
    <w:tmpl w:val="D820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7F1A99"/>
    <w:multiLevelType w:val="hybridMultilevel"/>
    <w:tmpl w:val="30046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82210"/>
    <w:multiLevelType w:val="hybridMultilevel"/>
    <w:tmpl w:val="E0B4FE66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21403FAC"/>
    <w:multiLevelType w:val="hybridMultilevel"/>
    <w:tmpl w:val="C00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E7C"/>
    <w:multiLevelType w:val="hybridMultilevel"/>
    <w:tmpl w:val="E2462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2364"/>
    <w:multiLevelType w:val="hybridMultilevel"/>
    <w:tmpl w:val="E2BE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30C"/>
    <w:multiLevelType w:val="hybridMultilevel"/>
    <w:tmpl w:val="D0A0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9A4"/>
    <w:multiLevelType w:val="hybridMultilevel"/>
    <w:tmpl w:val="2948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72C"/>
    <w:multiLevelType w:val="hybridMultilevel"/>
    <w:tmpl w:val="5BF6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1B86"/>
    <w:multiLevelType w:val="hybridMultilevel"/>
    <w:tmpl w:val="1B028B34"/>
    <w:lvl w:ilvl="0" w:tplc="A21A5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704248"/>
    <w:multiLevelType w:val="hybridMultilevel"/>
    <w:tmpl w:val="31E0A3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D455D"/>
    <w:multiLevelType w:val="hybridMultilevel"/>
    <w:tmpl w:val="8500F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F1B05"/>
    <w:multiLevelType w:val="hybridMultilevel"/>
    <w:tmpl w:val="2FB6AA6C"/>
    <w:lvl w:ilvl="0" w:tplc="019E5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8A11E9"/>
    <w:multiLevelType w:val="hybridMultilevel"/>
    <w:tmpl w:val="686671DA"/>
    <w:lvl w:ilvl="0" w:tplc="A70E3A7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49E2F33"/>
    <w:multiLevelType w:val="hybridMultilevel"/>
    <w:tmpl w:val="B47C7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616AA"/>
    <w:multiLevelType w:val="hybridMultilevel"/>
    <w:tmpl w:val="44248D3A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D447A"/>
    <w:multiLevelType w:val="hybridMultilevel"/>
    <w:tmpl w:val="9F5AB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B4D10"/>
    <w:multiLevelType w:val="hybridMultilevel"/>
    <w:tmpl w:val="62282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645ACD"/>
    <w:multiLevelType w:val="hybridMultilevel"/>
    <w:tmpl w:val="FB7A121C"/>
    <w:lvl w:ilvl="0" w:tplc="BB3EE9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0C6C"/>
    <w:multiLevelType w:val="multilevel"/>
    <w:tmpl w:val="03FE8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4FA0797F"/>
    <w:multiLevelType w:val="hybridMultilevel"/>
    <w:tmpl w:val="11BCDF68"/>
    <w:lvl w:ilvl="0" w:tplc="5072AE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827A4"/>
    <w:multiLevelType w:val="hybridMultilevel"/>
    <w:tmpl w:val="FC0853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B37614"/>
    <w:multiLevelType w:val="hybridMultilevel"/>
    <w:tmpl w:val="84B0DE3E"/>
    <w:lvl w:ilvl="0" w:tplc="8D6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61115"/>
    <w:multiLevelType w:val="hybridMultilevel"/>
    <w:tmpl w:val="ED6A98DE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DB2238"/>
    <w:multiLevelType w:val="hybridMultilevel"/>
    <w:tmpl w:val="D44E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80F7F"/>
    <w:multiLevelType w:val="hybridMultilevel"/>
    <w:tmpl w:val="4C40B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F2C7C"/>
    <w:multiLevelType w:val="hybridMultilevel"/>
    <w:tmpl w:val="3EFE1316"/>
    <w:lvl w:ilvl="0" w:tplc="A208B40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7C4775"/>
    <w:multiLevelType w:val="hybridMultilevel"/>
    <w:tmpl w:val="46989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557DC"/>
    <w:multiLevelType w:val="hybridMultilevel"/>
    <w:tmpl w:val="A77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20E36"/>
    <w:multiLevelType w:val="hybridMultilevel"/>
    <w:tmpl w:val="D1B80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D1D20"/>
    <w:multiLevelType w:val="hybridMultilevel"/>
    <w:tmpl w:val="024A2B16"/>
    <w:lvl w:ilvl="0" w:tplc="125E174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01A55"/>
    <w:multiLevelType w:val="hybridMultilevel"/>
    <w:tmpl w:val="F04C2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03195"/>
    <w:multiLevelType w:val="hybridMultilevel"/>
    <w:tmpl w:val="C15206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0602A6"/>
    <w:multiLevelType w:val="hybridMultilevel"/>
    <w:tmpl w:val="352676EE"/>
    <w:lvl w:ilvl="0" w:tplc="13AC2E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0D27"/>
    <w:multiLevelType w:val="hybridMultilevel"/>
    <w:tmpl w:val="7D04A60A"/>
    <w:lvl w:ilvl="0" w:tplc="C87CD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F70118"/>
    <w:multiLevelType w:val="hybridMultilevel"/>
    <w:tmpl w:val="3C1667B4"/>
    <w:lvl w:ilvl="0" w:tplc="068C95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28"/>
  </w:num>
  <w:num w:numId="4">
    <w:abstractNumId w:val="43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26"/>
  </w:num>
  <w:num w:numId="10">
    <w:abstractNumId w:val="15"/>
  </w:num>
  <w:num w:numId="11">
    <w:abstractNumId w:val="35"/>
  </w:num>
  <w:num w:numId="12">
    <w:abstractNumId w:val="9"/>
  </w:num>
  <w:num w:numId="13">
    <w:abstractNumId w:val="37"/>
  </w:num>
  <w:num w:numId="14">
    <w:abstractNumId w:val="42"/>
  </w:num>
  <w:num w:numId="15">
    <w:abstractNumId w:val="24"/>
  </w:num>
  <w:num w:numId="16">
    <w:abstractNumId w:val="7"/>
  </w:num>
  <w:num w:numId="17">
    <w:abstractNumId w:val="8"/>
  </w:num>
  <w:num w:numId="18">
    <w:abstractNumId w:val="10"/>
  </w:num>
  <w:num w:numId="19">
    <w:abstractNumId w:val="30"/>
  </w:num>
  <w:num w:numId="20">
    <w:abstractNumId w:val="38"/>
  </w:num>
  <w:num w:numId="21">
    <w:abstractNumId w:val="0"/>
  </w:num>
  <w:num w:numId="22">
    <w:abstractNumId w:val="36"/>
  </w:num>
  <w:num w:numId="23">
    <w:abstractNumId w:val="4"/>
  </w:num>
  <w:num w:numId="24">
    <w:abstractNumId w:val="23"/>
  </w:num>
  <w:num w:numId="25">
    <w:abstractNumId w:val="40"/>
  </w:num>
  <w:num w:numId="26">
    <w:abstractNumId w:val="5"/>
  </w:num>
  <w:num w:numId="27">
    <w:abstractNumId w:val="13"/>
  </w:num>
  <w:num w:numId="28">
    <w:abstractNumId w:val="33"/>
  </w:num>
  <w:num w:numId="29">
    <w:abstractNumId w:val="11"/>
  </w:num>
  <w:num w:numId="30">
    <w:abstractNumId w:val="1"/>
  </w:num>
  <w:num w:numId="31">
    <w:abstractNumId w:val="29"/>
  </w:num>
  <w:num w:numId="32">
    <w:abstractNumId w:val="14"/>
  </w:num>
  <w:num w:numId="33">
    <w:abstractNumId w:val="25"/>
  </w:num>
  <w:num w:numId="34">
    <w:abstractNumId w:val="2"/>
  </w:num>
  <w:num w:numId="35">
    <w:abstractNumId w:val="34"/>
  </w:num>
  <w:num w:numId="36">
    <w:abstractNumId w:val="27"/>
  </w:num>
  <w:num w:numId="37">
    <w:abstractNumId w:val="17"/>
  </w:num>
  <w:num w:numId="38">
    <w:abstractNumId w:val="31"/>
  </w:num>
  <w:num w:numId="39">
    <w:abstractNumId w:val="16"/>
  </w:num>
  <w:num w:numId="40">
    <w:abstractNumId w:val="12"/>
  </w:num>
  <w:num w:numId="41">
    <w:abstractNumId w:val="39"/>
  </w:num>
  <w:num w:numId="42">
    <w:abstractNumId w:val="3"/>
  </w:num>
  <w:num w:numId="43">
    <w:abstractNumId w:val="44"/>
  </w:num>
  <w:num w:numId="44">
    <w:abstractNumId w:val="3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E4"/>
    <w:rsid w:val="00002ACC"/>
    <w:rsid w:val="00160897"/>
    <w:rsid w:val="00182A4B"/>
    <w:rsid w:val="001C2C1A"/>
    <w:rsid w:val="00213EE3"/>
    <w:rsid w:val="0023771A"/>
    <w:rsid w:val="003179BE"/>
    <w:rsid w:val="00327E44"/>
    <w:rsid w:val="00350C92"/>
    <w:rsid w:val="00450622"/>
    <w:rsid w:val="00465378"/>
    <w:rsid w:val="005A6153"/>
    <w:rsid w:val="005D2892"/>
    <w:rsid w:val="00660F98"/>
    <w:rsid w:val="0067229F"/>
    <w:rsid w:val="00697E0A"/>
    <w:rsid w:val="006D2351"/>
    <w:rsid w:val="006F11BD"/>
    <w:rsid w:val="0076019D"/>
    <w:rsid w:val="00836DEF"/>
    <w:rsid w:val="00857B4C"/>
    <w:rsid w:val="008B376E"/>
    <w:rsid w:val="00905662"/>
    <w:rsid w:val="00930D47"/>
    <w:rsid w:val="009E5DE4"/>
    <w:rsid w:val="00A11DAF"/>
    <w:rsid w:val="00A20977"/>
    <w:rsid w:val="00A30126"/>
    <w:rsid w:val="00AC180C"/>
    <w:rsid w:val="00AC2BB7"/>
    <w:rsid w:val="00B60D4F"/>
    <w:rsid w:val="00CB22EF"/>
    <w:rsid w:val="00CC0457"/>
    <w:rsid w:val="00DF0922"/>
    <w:rsid w:val="00E01F6C"/>
    <w:rsid w:val="00E76BD4"/>
    <w:rsid w:val="00ED0C4B"/>
    <w:rsid w:val="00EE7CBF"/>
    <w:rsid w:val="00EF1320"/>
    <w:rsid w:val="00F4778F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29271"/>
  <w15:docId w15:val="{7641F53D-6112-486E-9AD6-0D393B13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6DE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836DEF"/>
    <w:pPr>
      <w:spacing w:after="240"/>
      <w:outlineLvl w:val="0"/>
    </w:pPr>
    <w:rPr>
      <w:rFonts w:eastAsiaTheme="minorHAnsi"/>
      <w:bCs w:val="0"/>
      <w:spacing w:val="1"/>
      <w:kern w:val="36"/>
      <w:szCs w:val="36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6DEF"/>
    <w:pPr>
      <w:keepNext/>
      <w:keepLines/>
      <w:outlineLvl w:val="1"/>
    </w:pPr>
    <w:rPr>
      <w:rFonts w:eastAsiaTheme="majorEastAsia"/>
      <w:bCs w:val="0"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36DE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DEF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1"/>
    <w:link w:val="2"/>
    <w:uiPriority w:val="9"/>
    <w:rsid w:val="00836DEF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836DEF"/>
    <w:pPr>
      <w:widowControl w:val="0"/>
      <w:jc w:val="center"/>
    </w:pPr>
    <w:rPr>
      <w:rFonts w:ascii="MonoCondensed" w:hAnsi="MonoCondensed" w:cs="MonoCondensed"/>
    </w:rPr>
  </w:style>
  <w:style w:type="paragraph" w:styleId="a4">
    <w:name w:val="header"/>
    <w:basedOn w:val="a0"/>
    <w:link w:val="a5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836DEF"/>
    <w:pPr>
      <w:spacing w:after="200" w:line="276" w:lineRule="auto"/>
      <w:ind w:left="720"/>
      <w:contextualSpacing/>
    </w:pPr>
    <w:rPr>
      <w:rFonts w:eastAsiaTheme="minorHAnsi"/>
      <w:color w:val="000000"/>
      <w:spacing w:val="1"/>
      <w:lang w:eastAsia="en-US"/>
    </w:rPr>
  </w:style>
  <w:style w:type="character" w:styleId="a9">
    <w:name w:val="Hyperlink"/>
    <w:basedOn w:val="a1"/>
    <w:uiPriority w:val="99"/>
    <w:unhideWhenUsed/>
    <w:rsid w:val="00836DEF"/>
    <w:rPr>
      <w:color w:val="0000FF"/>
      <w:u w:val="single"/>
    </w:rPr>
  </w:style>
  <w:style w:type="table" w:styleId="aa">
    <w:name w:val="Table Grid"/>
    <w:basedOn w:val="a2"/>
    <w:uiPriority w:val="59"/>
    <w:rsid w:val="00836DEF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836DEF"/>
    <w:pPr>
      <w:tabs>
        <w:tab w:val="right" w:leader="dot" w:pos="9356"/>
      </w:tabs>
      <w:ind w:right="-1"/>
    </w:pPr>
    <w:rPr>
      <w:rFonts w:eastAsiaTheme="minorHAnsi"/>
      <w:noProof/>
      <w:spacing w:val="1"/>
      <w:lang w:eastAsia="en-US"/>
    </w:rPr>
  </w:style>
  <w:style w:type="paragraph" w:styleId="ab">
    <w:name w:val="Normal (Web)"/>
    <w:basedOn w:val="a0"/>
    <w:unhideWhenUsed/>
    <w:rsid w:val="00836DEF"/>
    <w:pPr>
      <w:spacing w:before="100" w:beforeAutospacing="1" w:after="100" w:afterAutospacing="1"/>
    </w:pPr>
    <w:rPr>
      <w:rFonts w:eastAsiaTheme="minorHAnsi"/>
      <w:color w:val="0C1D6B"/>
      <w:spacing w:val="1"/>
      <w:lang w:eastAsia="en-US"/>
    </w:rPr>
  </w:style>
  <w:style w:type="character" w:customStyle="1" w:styleId="ac">
    <w:name w:val="Основной текст_"/>
    <w:basedOn w:val="a1"/>
    <w:link w:val="11"/>
    <w:rsid w:val="00836DEF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0"/>
    <w:link w:val="ac"/>
    <w:rsid w:val="00836DEF"/>
    <w:pPr>
      <w:widowControl w:val="0"/>
      <w:shd w:val="clear" w:color="auto" w:fill="FFFFFF"/>
      <w:spacing w:before="420" w:line="350" w:lineRule="exact"/>
    </w:pPr>
    <w:rPr>
      <w:rFonts w:ascii="Batang" w:eastAsia="Batang" w:hAnsi="Batang" w:cs="Batang"/>
      <w:bCs w:val="0"/>
      <w:spacing w:val="1"/>
      <w:sz w:val="22"/>
      <w:szCs w:val="22"/>
      <w:lang w:eastAsia="en-US"/>
    </w:rPr>
  </w:style>
  <w:style w:type="paragraph" w:customStyle="1" w:styleId="5">
    <w:name w:val="Основной текст5"/>
    <w:basedOn w:val="a0"/>
    <w:rsid w:val="00836DEF"/>
    <w:pPr>
      <w:widowControl w:val="0"/>
      <w:shd w:val="clear" w:color="auto" w:fill="FFFFFF"/>
      <w:spacing w:after="1260" w:line="317" w:lineRule="exact"/>
      <w:ind w:hanging="360"/>
      <w:jc w:val="right"/>
    </w:pPr>
    <w:rPr>
      <w:rFonts w:eastAsiaTheme="minorHAnsi"/>
      <w:color w:val="000000"/>
      <w:spacing w:val="2"/>
      <w:sz w:val="23"/>
      <w:szCs w:val="23"/>
      <w:lang w:eastAsia="en-US"/>
    </w:rPr>
  </w:style>
  <w:style w:type="character" w:customStyle="1" w:styleId="12">
    <w:name w:val="Основной текст Знак1"/>
    <w:basedOn w:val="a1"/>
    <w:link w:val="ad"/>
    <w:uiPriority w:val="99"/>
    <w:rsid w:val="00836DEF"/>
    <w:rPr>
      <w:sz w:val="26"/>
      <w:szCs w:val="26"/>
      <w:shd w:val="clear" w:color="auto" w:fill="FFFFFF"/>
    </w:rPr>
  </w:style>
  <w:style w:type="paragraph" w:styleId="ad">
    <w:name w:val="Body Text"/>
    <w:basedOn w:val="a0"/>
    <w:link w:val="12"/>
    <w:uiPriority w:val="99"/>
    <w:rsid w:val="00836DEF"/>
    <w:pPr>
      <w:shd w:val="clear" w:color="auto" w:fill="FFFFFF"/>
      <w:spacing w:line="240" w:lineRule="atLeast"/>
      <w:ind w:hanging="1460"/>
      <w:jc w:val="center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35pt">
    <w:name w:val="Основной текст + 13;5 pt"/>
    <w:basedOn w:val="ac"/>
    <w:rsid w:val="00836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836DEF"/>
    <w:pPr>
      <w:widowControl w:val="0"/>
      <w:shd w:val="clear" w:color="auto" w:fill="FFFFFF"/>
      <w:spacing w:before="1260" w:line="317" w:lineRule="exact"/>
      <w:ind w:hanging="1680"/>
    </w:pPr>
    <w:rPr>
      <w:color w:val="000000"/>
      <w:spacing w:val="2"/>
      <w:sz w:val="23"/>
      <w:szCs w:val="23"/>
    </w:rPr>
  </w:style>
  <w:style w:type="character" w:customStyle="1" w:styleId="af">
    <w:name w:val="Сноска_"/>
    <w:basedOn w:val="a1"/>
    <w:link w:val="af0"/>
    <w:rsid w:val="00836DEF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0">
    <w:name w:val="Сноска"/>
    <w:basedOn w:val="a0"/>
    <w:link w:val="af"/>
    <w:rsid w:val="00836DEF"/>
    <w:pPr>
      <w:widowControl w:val="0"/>
      <w:shd w:val="clear" w:color="auto" w:fill="FFFFFF"/>
      <w:spacing w:line="274" w:lineRule="exact"/>
      <w:ind w:hanging="360"/>
    </w:pPr>
    <w:rPr>
      <w:rFonts w:asciiTheme="minorHAnsi" w:hAnsiTheme="minorHAnsi" w:cstheme="minorBidi"/>
      <w:bCs w:val="0"/>
      <w:spacing w:val="2"/>
      <w:sz w:val="23"/>
      <w:szCs w:val="23"/>
      <w:lang w:eastAsia="en-US"/>
    </w:rPr>
  </w:style>
  <w:style w:type="character" w:customStyle="1" w:styleId="40">
    <w:name w:val="Заголовок №4_"/>
    <w:basedOn w:val="a1"/>
    <w:link w:val="41"/>
    <w:rsid w:val="00836DEF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1">
    <w:name w:val="Основной текст + Курсив"/>
    <w:basedOn w:val="ac"/>
    <w:uiPriority w:val="99"/>
    <w:rsid w:val="00836D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1">
    <w:name w:val="Заголовок №4"/>
    <w:basedOn w:val="a0"/>
    <w:link w:val="40"/>
    <w:rsid w:val="00836DEF"/>
    <w:pPr>
      <w:widowControl w:val="0"/>
      <w:shd w:val="clear" w:color="auto" w:fill="FFFFFF"/>
      <w:spacing w:after="420" w:line="0" w:lineRule="atLeast"/>
      <w:outlineLvl w:val="3"/>
    </w:pPr>
    <w:rPr>
      <w:rFonts w:ascii="Arial" w:eastAsia="Arial" w:hAnsi="Arial" w:cs="Arial"/>
      <w:b/>
      <w:spacing w:val="3"/>
      <w:sz w:val="25"/>
      <w:szCs w:val="25"/>
      <w:lang w:eastAsia="en-US"/>
    </w:rPr>
  </w:style>
  <w:style w:type="character" w:customStyle="1" w:styleId="af2">
    <w:name w:val="Гипертекстовая ссылка"/>
    <w:basedOn w:val="a1"/>
    <w:uiPriority w:val="99"/>
    <w:rsid w:val="00836DEF"/>
    <w:rPr>
      <w:color w:val="106BBE"/>
    </w:rPr>
  </w:style>
  <w:style w:type="paragraph" w:styleId="af3">
    <w:name w:val="endnote text"/>
    <w:basedOn w:val="a0"/>
    <w:link w:val="af4"/>
    <w:uiPriority w:val="99"/>
    <w:unhideWhenUsed/>
    <w:rsid w:val="00836DEF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836DE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836DEF"/>
    <w:rPr>
      <w:vertAlign w:val="superscript"/>
    </w:rPr>
  </w:style>
  <w:style w:type="paragraph" w:styleId="a">
    <w:name w:val="No Spacing"/>
    <w:basedOn w:val="a8"/>
    <w:uiPriority w:val="1"/>
    <w:qFormat/>
    <w:rsid w:val="00836DEF"/>
    <w:pPr>
      <w:numPr>
        <w:numId w:val="11"/>
      </w:numPr>
      <w:spacing w:after="0" w:line="360" w:lineRule="auto"/>
      <w:ind w:left="357" w:hanging="357"/>
    </w:pPr>
  </w:style>
  <w:style w:type="paragraph" w:styleId="af6">
    <w:name w:val="footnote text"/>
    <w:basedOn w:val="a0"/>
    <w:link w:val="af7"/>
    <w:unhideWhenUsed/>
    <w:rsid w:val="00836DEF"/>
    <w:pPr>
      <w:spacing w:line="240" w:lineRule="auto"/>
      <w:jc w:val="left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836DEF"/>
    <w:rPr>
      <w:sz w:val="20"/>
      <w:szCs w:val="20"/>
    </w:rPr>
  </w:style>
  <w:style w:type="character" w:styleId="af8">
    <w:name w:val="footnote reference"/>
    <w:basedOn w:val="a1"/>
    <w:semiHidden/>
    <w:unhideWhenUsed/>
    <w:rsid w:val="00836DEF"/>
    <w:rPr>
      <w:vertAlign w:val="superscript"/>
    </w:rPr>
  </w:style>
  <w:style w:type="table" w:customStyle="1" w:styleId="13">
    <w:name w:val="Сетка таблицы1"/>
    <w:basedOn w:val="a2"/>
    <w:next w:val="aa"/>
    <w:uiPriority w:val="59"/>
    <w:rsid w:val="00836D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rsid w:val="00836DEF"/>
    <w:pPr>
      <w:spacing w:after="200" w:line="276" w:lineRule="auto"/>
      <w:ind w:left="720"/>
      <w:jc w:val="left"/>
    </w:pPr>
    <w:rPr>
      <w:rFonts w:ascii="Calibri" w:hAnsi="Calibri"/>
      <w:bCs w:val="0"/>
      <w:sz w:val="22"/>
      <w:szCs w:val="22"/>
      <w:lang w:eastAsia="en-US"/>
    </w:rPr>
  </w:style>
  <w:style w:type="paragraph" w:styleId="af9">
    <w:name w:val="Balloon Text"/>
    <w:basedOn w:val="a0"/>
    <w:link w:val="afa"/>
    <w:uiPriority w:val="99"/>
    <w:semiHidden/>
    <w:unhideWhenUsed/>
    <w:rsid w:val="00836DEF"/>
    <w:pPr>
      <w:spacing w:line="240" w:lineRule="auto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836DEF"/>
    <w:rPr>
      <w:rFonts w:ascii="Tahoma" w:hAnsi="Tahoma" w:cs="Tahoma"/>
      <w:sz w:val="16"/>
      <w:szCs w:val="16"/>
    </w:rPr>
  </w:style>
  <w:style w:type="paragraph" w:styleId="afb">
    <w:name w:val="Bibliography"/>
    <w:basedOn w:val="a0"/>
    <w:next w:val="a0"/>
    <w:uiPriority w:val="37"/>
    <w:unhideWhenUsed/>
    <w:rsid w:val="00836DEF"/>
  </w:style>
  <w:style w:type="paragraph" w:customStyle="1" w:styleId="published">
    <w:name w:val="published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1"/>
    <w:rsid w:val="00836DEF"/>
  </w:style>
  <w:style w:type="paragraph" w:customStyle="1" w:styleId="b-articleparagraph">
    <w:name w:val="b-article__paragraph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836DEF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1"/>
    <w:rsid w:val="00836DEF"/>
  </w:style>
  <w:style w:type="character" w:customStyle="1" w:styleId="authorno-image-date">
    <w:name w:val="author__no-image-date"/>
    <w:basedOn w:val="a1"/>
    <w:rsid w:val="00836DEF"/>
  </w:style>
  <w:style w:type="character" w:customStyle="1" w:styleId="Bodytext3">
    <w:name w:val="Body text (3)_"/>
    <w:basedOn w:val="a1"/>
    <w:link w:val="Bodytext30"/>
    <w:rsid w:val="008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1"/>
    <w:link w:val="23"/>
    <w:rsid w:val="00836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836DE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836DE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36DEF"/>
    <w:pPr>
      <w:shd w:val="clear" w:color="auto" w:fill="FFFFFF"/>
      <w:spacing w:after="1320" w:line="0" w:lineRule="atLeast"/>
      <w:ind w:hanging="480"/>
      <w:jc w:val="right"/>
    </w:pPr>
    <w:rPr>
      <w:bCs w:val="0"/>
      <w:sz w:val="27"/>
      <w:szCs w:val="27"/>
      <w:lang w:eastAsia="en-US"/>
    </w:rPr>
  </w:style>
  <w:style w:type="paragraph" w:customStyle="1" w:styleId="23">
    <w:name w:val="Основной текст2"/>
    <w:basedOn w:val="a0"/>
    <w:link w:val="Bodytext"/>
    <w:rsid w:val="00836DEF"/>
    <w:pPr>
      <w:shd w:val="clear" w:color="auto" w:fill="FFFFFF"/>
      <w:spacing w:after="900" w:line="303" w:lineRule="exact"/>
      <w:jc w:val="right"/>
    </w:pPr>
    <w:rPr>
      <w:bCs w:val="0"/>
      <w:lang w:eastAsia="en-US"/>
    </w:rPr>
  </w:style>
  <w:style w:type="character" w:customStyle="1" w:styleId="Bodytext2">
    <w:name w:val="Body text (2)_"/>
    <w:basedOn w:val="a1"/>
    <w:link w:val="Bodytext20"/>
    <w:rsid w:val="00836DEF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36DEF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bCs w:val="0"/>
      <w:spacing w:val="-30"/>
      <w:sz w:val="29"/>
      <w:szCs w:val="29"/>
      <w:lang w:eastAsia="en-US"/>
    </w:rPr>
  </w:style>
  <w:style w:type="character" w:styleId="afd">
    <w:name w:val="Emphasis"/>
    <w:basedOn w:val="a1"/>
    <w:uiPriority w:val="20"/>
    <w:qFormat/>
    <w:rsid w:val="00836DEF"/>
    <w:rPr>
      <w:i/>
      <w:iCs/>
    </w:rPr>
  </w:style>
  <w:style w:type="character" w:customStyle="1" w:styleId="date-display-single">
    <w:name w:val="date-display-single"/>
    <w:basedOn w:val="a1"/>
    <w:rsid w:val="00836DEF"/>
  </w:style>
  <w:style w:type="character" w:styleId="afe">
    <w:name w:val="Strong"/>
    <w:basedOn w:val="a1"/>
    <w:uiPriority w:val="22"/>
    <w:qFormat/>
    <w:rsid w:val="00836DEF"/>
    <w:rPr>
      <w:b/>
      <w:bCs/>
    </w:rPr>
  </w:style>
  <w:style w:type="paragraph" w:customStyle="1" w:styleId="extra">
    <w:name w:val="extra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translation-chunk">
    <w:name w:val="translation-chunk"/>
    <w:basedOn w:val="a1"/>
    <w:rsid w:val="00836DEF"/>
  </w:style>
  <w:style w:type="paragraph" w:styleId="aff">
    <w:name w:val="TOC Heading"/>
    <w:basedOn w:val="1"/>
    <w:next w:val="a0"/>
    <w:uiPriority w:val="39"/>
    <w:semiHidden/>
    <w:unhideWhenUsed/>
    <w:qFormat/>
    <w:rsid w:val="00836D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836DEF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836DEF"/>
    <w:pPr>
      <w:spacing w:after="100"/>
      <w:ind w:left="560"/>
    </w:pPr>
  </w:style>
  <w:style w:type="character" w:customStyle="1" w:styleId="articleheadertime">
    <w:name w:val="article_header_time"/>
    <w:basedOn w:val="a1"/>
    <w:rsid w:val="00836DEF"/>
  </w:style>
  <w:style w:type="character" w:customStyle="1" w:styleId="articleheaderupdate">
    <w:name w:val="article_header_update"/>
    <w:basedOn w:val="a1"/>
    <w:rsid w:val="00836DEF"/>
  </w:style>
  <w:style w:type="character" w:customStyle="1" w:styleId="aff0">
    <w:name w:val="Основной текст + Полужирный"/>
    <w:basedOn w:val="12"/>
    <w:uiPriority w:val="99"/>
    <w:rsid w:val="00836DEF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a"/>
    <w:uiPriority w:val="59"/>
    <w:rsid w:val="00E01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1"/>
    <w:uiPriority w:val="99"/>
    <w:semiHidden/>
    <w:unhideWhenUsed/>
    <w:rsid w:val="0076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154DB-FE76-4F89-842D-807B3911BF64}"/>
</file>

<file path=customXml/itemProps2.xml><?xml version="1.0" encoding="utf-8"?>
<ds:datastoreItem xmlns:ds="http://schemas.openxmlformats.org/officeDocument/2006/customXml" ds:itemID="{C6DCF01B-39D2-41E8-9F86-753C43416108}"/>
</file>

<file path=customXml/itemProps3.xml><?xml version="1.0" encoding="utf-8"?>
<ds:datastoreItem xmlns:ds="http://schemas.openxmlformats.org/officeDocument/2006/customXml" ds:itemID="{0090E76B-A713-4502-ABC6-37FCACA0A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Методические рекомендации по совершенствованию бюджетного финансирования НИР, проводимых образовательными и научными организациями РФ(рекламно-техническое описание)</dc:title>
  <dc:subject/>
  <dc:creator>Новиков Алексей Викторович</dc:creator>
  <cp:keywords/>
  <dc:description/>
  <cp:lastModifiedBy>Белгородцев Виктор Петрович</cp:lastModifiedBy>
  <cp:revision>2</cp:revision>
  <dcterms:created xsi:type="dcterms:W3CDTF">2018-04-17T12:00:00Z</dcterms:created>
  <dcterms:modified xsi:type="dcterms:W3CDTF">2018-04-17T12:00:00Z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