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C21" w:rsidRDefault="00B80C21" w:rsidP="00B80C21">
      <w:pPr>
        <w:contextualSpacing/>
        <w:jc w:val="center"/>
        <w:rPr>
          <w:b/>
          <w:sz w:val="28"/>
          <w:szCs w:val="28"/>
        </w:rPr>
      </w:pPr>
      <w:r w:rsidRPr="00A53403">
        <w:rPr>
          <w:b/>
          <w:sz w:val="28"/>
          <w:szCs w:val="28"/>
        </w:rPr>
        <w:t xml:space="preserve">Рекламно-техническое описание </w:t>
      </w:r>
    </w:p>
    <w:p w:rsidR="00B80C21" w:rsidRPr="00A53403" w:rsidRDefault="00B80C21" w:rsidP="00B80C21">
      <w:pPr>
        <w:contextualSpacing/>
        <w:jc w:val="center"/>
        <w:rPr>
          <w:b/>
          <w:sz w:val="28"/>
          <w:szCs w:val="28"/>
        </w:rPr>
      </w:pPr>
      <w:r w:rsidRPr="00A53403">
        <w:rPr>
          <w:b/>
          <w:sz w:val="28"/>
          <w:szCs w:val="28"/>
        </w:rPr>
        <w:t xml:space="preserve">результата интеллектуальной деятельности </w:t>
      </w:r>
    </w:p>
    <w:p w:rsidR="00B80C21" w:rsidRDefault="00B80C21" w:rsidP="00B80C21">
      <w:pPr>
        <w:contextualSpacing/>
        <w:jc w:val="center"/>
        <w:rPr>
          <w:sz w:val="28"/>
          <w:szCs w:val="28"/>
        </w:rPr>
      </w:pPr>
    </w:p>
    <w:p w:rsidR="00B80C21" w:rsidRPr="00F43EE1" w:rsidRDefault="00B80C21" w:rsidP="00F37E99">
      <w:pPr>
        <w:contextualSpacing/>
        <w:jc w:val="both"/>
        <w:rPr>
          <w:sz w:val="28"/>
          <w:szCs w:val="28"/>
        </w:rPr>
      </w:pPr>
      <w:r w:rsidRPr="00F43EE1">
        <w:rPr>
          <w:sz w:val="28"/>
          <w:szCs w:val="28"/>
        </w:rPr>
        <w:t xml:space="preserve">Результат интеллектуальной деятельности в виде </w:t>
      </w:r>
      <w:r w:rsidR="00CF2640">
        <w:rPr>
          <w:sz w:val="28"/>
          <w:szCs w:val="28"/>
        </w:rPr>
        <w:t xml:space="preserve">секрета производства (ноу-хау) </w:t>
      </w:r>
      <w:r w:rsidR="00F43EE1">
        <w:rPr>
          <w:sz w:val="28"/>
          <w:szCs w:val="28"/>
        </w:rPr>
        <w:t>«</w:t>
      </w:r>
      <w:bookmarkStart w:id="0" w:name="_GoBack"/>
      <w:r w:rsidR="00F43EE1">
        <w:rPr>
          <w:sz w:val="28"/>
          <w:szCs w:val="28"/>
        </w:rPr>
        <w:t>М</w:t>
      </w:r>
      <w:r w:rsidR="00F43EE1" w:rsidRPr="00F43EE1">
        <w:rPr>
          <w:sz w:val="28"/>
          <w:szCs w:val="28"/>
        </w:rPr>
        <w:t>етоди</w:t>
      </w:r>
      <w:r w:rsidR="00B4304B">
        <w:rPr>
          <w:sz w:val="28"/>
          <w:szCs w:val="28"/>
        </w:rPr>
        <w:t xml:space="preserve">ческие рекомендации по </w:t>
      </w:r>
      <w:r w:rsidR="00F43EE1">
        <w:rPr>
          <w:sz w:val="28"/>
          <w:szCs w:val="28"/>
        </w:rPr>
        <w:t>о</w:t>
      </w:r>
      <w:r w:rsidR="00F43EE1" w:rsidRPr="00F43EE1">
        <w:rPr>
          <w:sz w:val="28"/>
          <w:szCs w:val="28"/>
        </w:rPr>
        <w:t>пределени</w:t>
      </w:r>
      <w:r w:rsidR="00B4304B">
        <w:rPr>
          <w:sz w:val="28"/>
          <w:szCs w:val="28"/>
        </w:rPr>
        <w:t>ю</w:t>
      </w:r>
      <w:r w:rsidR="00F43EE1" w:rsidRPr="00F43EE1">
        <w:rPr>
          <w:sz w:val="28"/>
          <w:szCs w:val="28"/>
        </w:rPr>
        <w:t xml:space="preserve"> реального ущерба, подлежащ</w:t>
      </w:r>
      <w:r w:rsidR="00F43EE1">
        <w:rPr>
          <w:sz w:val="28"/>
          <w:szCs w:val="28"/>
        </w:rPr>
        <w:t>его</w:t>
      </w:r>
      <w:r w:rsidR="00F43EE1" w:rsidRPr="00F43EE1">
        <w:rPr>
          <w:sz w:val="28"/>
          <w:szCs w:val="28"/>
        </w:rPr>
        <w:t xml:space="preserve"> возмещению Российской Федерацией и (или) субъектом (субъектами) Российской Федерации, являющимися сторонами соглашения о защите и поощрении капиталовложений</w:t>
      </w:r>
      <w:bookmarkEnd w:id="0"/>
      <w:r w:rsidRPr="00F43EE1">
        <w:rPr>
          <w:b/>
          <w:sz w:val="28"/>
          <w:szCs w:val="28"/>
        </w:rPr>
        <w:t xml:space="preserve">», </w:t>
      </w:r>
      <w:r w:rsidRPr="00F43EE1">
        <w:rPr>
          <w:sz w:val="28"/>
          <w:szCs w:val="28"/>
        </w:rPr>
        <w:t xml:space="preserve">разработан в рамках НИР </w:t>
      </w:r>
      <w:r w:rsidR="00877CF2">
        <w:rPr>
          <w:sz w:val="28"/>
          <w:szCs w:val="28"/>
        </w:rPr>
        <w:t>«Разработка методических рекомендаций для получения государственной финансовой поддержки организациями, реализующими инвестиционные проекты в рамках соглашения о защите и поощрении капиталовложений"</w:t>
      </w:r>
      <w:r w:rsidRPr="00F43EE1">
        <w:rPr>
          <w:sz w:val="28"/>
          <w:szCs w:val="28"/>
        </w:rPr>
        <w:t xml:space="preserve"> по государственному заданию Финансовому университету на 2022 год в рамках бюджетного финансирования</w:t>
      </w:r>
    </w:p>
    <w:p w:rsidR="00B80C21" w:rsidRPr="00453DC6" w:rsidRDefault="00B80C21" w:rsidP="00B80C21">
      <w:pPr>
        <w:contextualSpacing/>
        <w:jc w:val="center"/>
        <w:rPr>
          <w:sz w:val="28"/>
          <w:szCs w:val="28"/>
        </w:rPr>
      </w:pPr>
    </w:p>
    <w:p w:rsidR="00AE31CB" w:rsidRDefault="00AE31CB" w:rsidP="00AE31CB">
      <w:pPr>
        <w:contextualSpacing/>
        <w:jc w:val="both"/>
        <w:rPr>
          <w:sz w:val="28"/>
          <w:szCs w:val="28"/>
        </w:rPr>
      </w:pPr>
      <w:r w:rsidRPr="00453DC6">
        <w:rPr>
          <w:sz w:val="28"/>
          <w:szCs w:val="28"/>
        </w:rPr>
        <w:t>Сведения об автор</w:t>
      </w:r>
      <w:r>
        <w:rPr>
          <w:sz w:val="28"/>
          <w:szCs w:val="28"/>
        </w:rPr>
        <w:t>е</w:t>
      </w:r>
      <w:r w:rsidRPr="00453DC6">
        <w:rPr>
          <w:sz w:val="28"/>
          <w:szCs w:val="28"/>
        </w:rPr>
        <w:t xml:space="preserve">: </w:t>
      </w:r>
    </w:p>
    <w:p w:rsidR="00AE31CB" w:rsidRDefault="00AE31CB" w:rsidP="00AE31CB">
      <w:pPr>
        <w:contextualSpacing/>
        <w:jc w:val="both"/>
        <w:rPr>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4"/>
        <w:gridCol w:w="5711"/>
      </w:tblGrid>
      <w:tr w:rsidR="008A012E" w:rsidRPr="00D64A9A" w:rsidTr="008A012E">
        <w:tc>
          <w:tcPr>
            <w:tcW w:w="3634" w:type="dxa"/>
            <w:tcBorders>
              <w:top w:val="single" w:sz="4" w:space="0" w:color="auto"/>
              <w:left w:val="single" w:sz="4" w:space="0" w:color="auto"/>
              <w:bottom w:val="single" w:sz="4" w:space="0" w:color="auto"/>
              <w:right w:val="single" w:sz="4" w:space="0" w:color="auto"/>
            </w:tcBorders>
            <w:vAlign w:val="center"/>
          </w:tcPr>
          <w:p w:rsidR="008A012E" w:rsidRDefault="008A012E" w:rsidP="009049D6">
            <w:pPr>
              <w:ind w:right="598"/>
              <w:contextualSpacing/>
              <w:jc w:val="center"/>
              <w:rPr>
                <w:sz w:val="28"/>
                <w:szCs w:val="28"/>
              </w:rPr>
            </w:pPr>
            <w:r>
              <w:rPr>
                <w:noProof/>
              </w:rPr>
              <w:drawing>
                <wp:inline distT="0" distB="0" distL="0" distR="0" wp14:anchorId="7CCCEB01" wp14:editId="5C60844A">
                  <wp:extent cx="1790700" cy="1828800"/>
                  <wp:effectExtent l="0" t="0" r="0" b="0"/>
                  <wp:docPr id="2" name="Рисунок 2" descr="C:\Users\1\AppData\Local\Microsoft\Windows\INetCache\Content.Word\00000000-0001-2345-6789-000000013204_optim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AppData\Local\Microsoft\Windows\INetCache\Content.Word\00000000-0001-2345-6789-000000013204_optimize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0700" cy="1828800"/>
                          </a:xfrm>
                          <a:prstGeom prst="rect">
                            <a:avLst/>
                          </a:prstGeom>
                          <a:noFill/>
                          <a:ln>
                            <a:noFill/>
                          </a:ln>
                        </pic:spPr>
                      </pic:pic>
                    </a:graphicData>
                  </a:graphic>
                </wp:inline>
              </w:drawing>
            </w:r>
          </w:p>
        </w:tc>
        <w:tc>
          <w:tcPr>
            <w:tcW w:w="5937" w:type="dxa"/>
            <w:tcBorders>
              <w:top w:val="single" w:sz="4" w:space="0" w:color="auto"/>
              <w:left w:val="single" w:sz="4" w:space="0" w:color="auto"/>
              <w:bottom w:val="single" w:sz="4" w:space="0" w:color="auto"/>
              <w:right w:val="single" w:sz="4" w:space="0" w:color="auto"/>
            </w:tcBorders>
          </w:tcPr>
          <w:p w:rsidR="008A012E" w:rsidRDefault="008A012E" w:rsidP="009049D6">
            <w:pPr>
              <w:spacing w:after="120"/>
              <w:rPr>
                <w:sz w:val="28"/>
                <w:szCs w:val="28"/>
              </w:rPr>
            </w:pPr>
            <w:r>
              <w:rPr>
                <w:sz w:val="28"/>
                <w:szCs w:val="28"/>
              </w:rPr>
              <w:t xml:space="preserve">Тютюкина Елена Борисовна </w:t>
            </w:r>
          </w:p>
          <w:p w:rsidR="008A012E" w:rsidRPr="00DA439B" w:rsidRDefault="008A012E" w:rsidP="008A012E">
            <w:pPr>
              <w:spacing w:after="120"/>
              <w:rPr>
                <w:sz w:val="28"/>
                <w:szCs w:val="28"/>
              </w:rPr>
            </w:pPr>
            <w:r>
              <w:rPr>
                <w:sz w:val="28"/>
                <w:szCs w:val="28"/>
              </w:rPr>
              <w:t xml:space="preserve">Профессор Департамента корпоративных финансов и корпоративного управления </w:t>
            </w:r>
            <w:r w:rsidRPr="00FD2B3B">
              <w:rPr>
                <w:sz w:val="28"/>
                <w:szCs w:val="28"/>
              </w:rPr>
              <w:t>Факультета экономики и бизнеса</w:t>
            </w:r>
          </w:p>
          <w:p w:rsidR="008A012E" w:rsidRPr="00DA439B" w:rsidRDefault="008A012E" w:rsidP="008A012E">
            <w:pPr>
              <w:spacing w:after="120"/>
              <w:rPr>
                <w:sz w:val="28"/>
                <w:szCs w:val="28"/>
              </w:rPr>
            </w:pPr>
            <w:r>
              <w:rPr>
                <w:sz w:val="28"/>
                <w:szCs w:val="28"/>
              </w:rPr>
              <w:t>Доктор экономических наук, профессор</w:t>
            </w:r>
          </w:p>
          <w:p w:rsidR="008A012E" w:rsidRDefault="008A012E" w:rsidP="008A012E">
            <w:pPr>
              <w:spacing w:after="120"/>
            </w:pPr>
            <w:r>
              <w:t xml:space="preserve">Адрес: 125993, г. Москва, ул. Кибальчича, 1            </w:t>
            </w:r>
          </w:p>
          <w:p w:rsidR="008A012E" w:rsidRDefault="008A012E" w:rsidP="008A012E">
            <w:pPr>
              <w:spacing w:after="120"/>
            </w:pPr>
            <w:r w:rsidRPr="00453DC6">
              <w:t>Тел.: +7</w:t>
            </w:r>
            <w:r>
              <w:t>(916)930-65-12</w:t>
            </w:r>
          </w:p>
          <w:p w:rsidR="008A012E" w:rsidRDefault="008A012E" w:rsidP="008A012E">
            <w:pPr>
              <w:spacing w:after="120"/>
            </w:pPr>
            <w:r>
              <w:t xml:space="preserve">Эл. адрес: </w:t>
            </w:r>
            <w:r>
              <w:rPr>
                <w:lang w:val="en-US"/>
              </w:rPr>
              <w:t>ebtyutyukina</w:t>
            </w:r>
            <w:r w:rsidRPr="00F43EE1">
              <w:t>@</w:t>
            </w:r>
            <w:r>
              <w:rPr>
                <w:lang w:val="en-US"/>
              </w:rPr>
              <w:t>fa</w:t>
            </w:r>
            <w:r w:rsidRPr="00F43EE1">
              <w:t>.</w:t>
            </w:r>
            <w:r>
              <w:rPr>
                <w:lang w:val="en-US"/>
              </w:rPr>
              <w:t>ru</w:t>
            </w:r>
          </w:p>
          <w:p w:rsidR="008A012E" w:rsidRPr="00D64A9A" w:rsidRDefault="008A012E" w:rsidP="009049D6">
            <w:pPr>
              <w:contextualSpacing/>
              <w:jc w:val="both"/>
            </w:pPr>
          </w:p>
        </w:tc>
      </w:tr>
    </w:tbl>
    <w:p w:rsidR="00AE31CB" w:rsidRDefault="00AE31CB" w:rsidP="00AE31CB">
      <w:pPr>
        <w:spacing w:line="420" w:lineRule="exact"/>
        <w:jc w:val="center"/>
        <w:rPr>
          <w:b/>
          <w:color w:val="000000"/>
          <w:sz w:val="28"/>
          <w:szCs w:val="28"/>
        </w:rPr>
      </w:pPr>
    </w:p>
    <w:p w:rsidR="00AE31CB" w:rsidRDefault="00AE31CB" w:rsidP="00AE31CB">
      <w:pPr>
        <w:spacing w:line="420" w:lineRule="exact"/>
        <w:jc w:val="center"/>
        <w:rPr>
          <w:b/>
          <w:color w:val="000000"/>
          <w:sz w:val="28"/>
          <w:szCs w:val="28"/>
        </w:rPr>
      </w:pPr>
    </w:p>
    <w:p w:rsidR="00AE31CB" w:rsidRDefault="00AE31CB" w:rsidP="00AE31CB">
      <w:pPr>
        <w:spacing w:line="420" w:lineRule="exact"/>
        <w:jc w:val="center"/>
        <w:rPr>
          <w:b/>
          <w:color w:val="000000"/>
          <w:sz w:val="28"/>
          <w:szCs w:val="28"/>
        </w:rPr>
      </w:pPr>
    </w:p>
    <w:p w:rsidR="00AE31CB" w:rsidRDefault="00AE31CB" w:rsidP="00AE31CB">
      <w:pPr>
        <w:spacing w:line="420" w:lineRule="exact"/>
        <w:jc w:val="center"/>
        <w:rPr>
          <w:b/>
          <w:color w:val="000000"/>
          <w:sz w:val="28"/>
          <w:szCs w:val="28"/>
        </w:rPr>
      </w:pPr>
    </w:p>
    <w:p w:rsidR="00AE31CB" w:rsidRDefault="00AE31CB" w:rsidP="00AE31CB">
      <w:pPr>
        <w:spacing w:line="420" w:lineRule="exact"/>
        <w:jc w:val="center"/>
        <w:rPr>
          <w:b/>
          <w:color w:val="000000"/>
          <w:sz w:val="28"/>
          <w:szCs w:val="28"/>
        </w:rPr>
      </w:pPr>
    </w:p>
    <w:p w:rsidR="00AE31CB" w:rsidRDefault="00AE31CB" w:rsidP="00AE31CB">
      <w:pPr>
        <w:spacing w:line="420" w:lineRule="exact"/>
        <w:jc w:val="center"/>
        <w:rPr>
          <w:b/>
          <w:color w:val="000000"/>
          <w:sz w:val="28"/>
          <w:szCs w:val="28"/>
        </w:rPr>
      </w:pPr>
    </w:p>
    <w:p w:rsidR="00AE31CB" w:rsidRDefault="00AE31CB" w:rsidP="00AE31CB">
      <w:pPr>
        <w:spacing w:line="420" w:lineRule="exact"/>
        <w:jc w:val="center"/>
        <w:rPr>
          <w:b/>
          <w:color w:val="000000"/>
          <w:sz w:val="28"/>
          <w:szCs w:val="28"/>
        </w:rPr>
      </w:pPr>
    </w:p>
    <w:p w:rsidR="00AE31CB" w:rsidRDefault="00AE31CB" w:rsidP="00AE31CB">
      <w:pPr>
        <w:spacing w:line="420" w:lineRule="exact"/>
        <w:jc w:val="center"/>
        <w:rPr>
          <w:b/>
          <w:color w:val="000000"/>
          <w:sz w:val="28"/>
          <w:szCs w:val="28"/>
        </w:rPr>
      </w:pPr>
    </w:p>
    <w:p w:rsidR="00AE31CB" w:rsidRDefault="00AE31CB" w:rsidP="00AE31CB">
      <w:pPr>
        <w:spacing w:line="420" w:lineRule="exact"/>
        <w:jc w:val="center"/>
        <w:rPr>
          <w:b/>
          <w:color w:val="000000"/>
          <w:sz w:val="28"/>
          <w:szCs w:val="28"/>
        </w:rPr>
      </w:pPr>
    </w:p>
    <w:p w:rsidR="00AE31CB" w:rsidRDefault="00AE31CB" w:rsidP="00AE31CB">
      <w:pPr>
        <w:spacing w:line="420" w:lineRule="exact"/>
        <w:jc w:val="center"/>
        <w:rPr>
          <w:b/>
          <w:color w:val="000000"/>
          <w:sz w:val="28"/>
          <w:szCs w:val="28"/>
        </w:rPr>
      </w:pPr>
    </w:p>
    <w:p w:rsidR="00AE31CB" w:rsidRDefault="00AE31CB" w:rsidP="00AE31CB">
      <w:pPr>
        <w:spacing w:line="420" w:lineRule="exact"/>
        <w:jc w:val="center"/>
        <w:rPr>
          <w:b/>
          <w:color w:val="000000"/>
          <w:sz w:val="28"/>
          <w:szCs w:val="28"/>
        </w:rPr>
      </w:pPr>
    </w:p>
    <w:p w:rsidR="00AE31CB" w:rsidRDefault="00AE31CB" w:rsidP="00AE31CB">
      <w:pPr>
        <w:spacing w:line="420" w:lineRule="exact"/>
        <w:jc w:val="center"/>
        <w:rPr>
          <w:b/>
          <w:color w:val="000000"/>
          <w:sz w:val="28"/>
          <w:szCs w:val="28"/>
        </w:rPr>
      </w:pPr>
    </w:p>
    <w:p w:rsidR="00AE31CB" w:rsidRDefault="00AE31CB" w:rsidP="00AE31CB">
      <w:pPr>
        <w:spacing w:line="420" w:lineRule="exact"/>
        <w:jc w:val="center"/>
        <w:rPr>
          <w:b/>
          <w:color w:val="000000"/>
          <w:sz w:val="28"/>
          <w:szCs w:val="28"/>
        </w:rPr>
      </w:pPr>
    </w:p>
    <w:p w:rsidR="00AE31CB" w:rsidRDefault="00AE31CB" w:rsidP="00AE31CB">
      <w:pPr>
        <w:spacing w:line="420" w:lineRule="exact"/>
        <w:jc w:val="center"/>
        <w:rPr>
          <w:b/>
          <w:color w:val="000000"/>
          <w:sz w:val="28"/>
          <w:szCs w:val="28"/>
        </w:rPr>
      </w:pPr>
    </w:p>
    <w:p w:rsidR="00AE31CB" w:rsidRDefault="00AE31CB" w:rsidP="00AE31CB">
      <w:pPr>
        <w:spacing w:line="420" w:lineRule="exact"/>
        <w:jc w:val="center"/>
        <w:rPr>
          <w:b/>
          <w:color w:val="000000"/>
          <w:sz w:val="28"/>
          <w:szCs w:val="28"/>
        </w:rPr>
      </w:pPr>
      <w:r w:rsidRPr="009835C9">
        <w:rPr>
          <w:b/>
          <w:color w:val="000000"/>
          <w:sz w:val="28"/>
          <w:szCs w:val="28"/>
        </w:rPr>
        <w:lastRenderedPageBreak/>
        <w:t>Описание результата интеллектуальной деятельности</w:t>
      </w:r>
    </w:p>
    <w:p w:rsidR="00B80C21" w:rsidRPr="00EA076E" w:rsidRDefault="00B80C21" w:rsidP="00B80C21">
      <w:pPr>
        <w:contextualSpacing/>
        <w:jc w:val="both"/>
        <w:rPr>
          <w:sz w:val="16"/>
          <w:szCs w:val="16"/>
        </w:rPr>
      </w:pPr>
    </w:p>
    <w:p w:rsidR="00B80C21" w:rsidRDefault="00B80C21" w:rsidP="00B80C21">
      <w:pPr>
        <w:contextualSpacing/>
        <w:jc w:val="both"/>
        <w:rPr>
          <w:sz w:val="28"/>
          <w:szCs w:val="28"/>
        </w:rPr>
      </w:pPr>
    </w:p>
    <w:p w:rsidR="00BB14DA" w:rsidRDefault="00CF2640" w:rsidP="002D4ACD">
      <w:pPr>
        <w:spacing w:line="420" w:lineRule="exact"/>
        <w:ind w:firstLine="709"/>
        <w:jc w:val="both"/>
        <w:rPr>
          <w:sz w:val="28"/>
          <w:szCs w:val="28"/>
          <w:shd w:val="clear" w:color="auto" w:fill="FFFFFF"/>
        </w:rPr>
      </w:pPr>
      <w:r w:rsidRPr="002E274B">
        <w:rPr>
          <w:b/>
          <w:bCs/>
          <w:sz w:val="28"/>
          <w:szCs w:val="28"/>
        </w:rPr>
        <w:t>Информация о технологии.</w:t>
      </w:r>
      <w:r w:rsidRPr="00CF2640">
        <w:rPr>
          <w:sz w:val="28"/>
          <w:szCs w:val="28"/>
        </w:rPr>
        <w:t xml:space="preserve"> </w:t>
      </w:r>
      <w:r>
        <w:rPr>
          <w:sz w:val="28"/>
          <w:szCs w:val="28"/>
        </w:rPr>
        <w:t>Секрет производства (ноу-хау)</w:t>
      </w:r>
      <w:r w:rsidR="00F8582D">
        <w:rPr>
          <w:sz w:val="28"/>
          <w:szCs w:val="28"/>
        </w:rPr>
        <w:t xml:space="preserve"> представляет собой методи</w:t>
      </w:r>
      <w:r w:rsidR="00B4304B">
        <w:rPr>
          <w:sz w:val="28"/>
          <w:szCs w:val="28"/>
        </w:rPr>
        <w:t>ческие рекомендации по</w:t>
      </w:r>
      <w:r w:rsidR="00F8582D">
        <w:rPr>
          <w:sz w:val="28"/>
          <w:szCs w:val="28"/>
        </w:rPr>
        <w:t xml:space="preserve"> </w:t>
      </w:r>
      <w:r w:rsidR="00F8582D" w:rsidRPr="00865F76">
        <w:rPr>
          <w:sz w:val="28"/>
          <w:szCs w:val="28"/>
        </w:rPr>
        <w:t>определени</w:t>
      </w:r>
      <w:r w:rsidR="00B4304B">
        <w:rPr>
          <w:sz w:val="28"/>
          <w:szCs w:val="28"/>
        </w:rPr>
        <w:t>ю</w:t>
      </w:r>
      <w:r w:rsidR="00F8582D" w:rsidRPr="00865F76">
        <w:rPr>
          <w:sz w:val="28"/>
          <w:szCs w:val="28"/>
        </w:rPr>
        <w:t xml:space="preserve"> реального ущерба, подлежащ</w:t>
      </w:r>
      <w:r w:rsidR="00F8582D">
        <w:rPr>
          <w:sz w:val="28"/>
          <w:szCs w:val="28"/>
        </w:rPr>
        <w:t>его</w:t>
      </w:r>
      <w:r w:rsidR="00F8582D" w:rsidRPr="00865F76">
        <w:rPr>
          <w:sz w:val="28"/>
          <w:szCs w:val="28"/>
        </w:rPr>
        <w:t xml:space="preserve"> возмещению публично-правовыми </w:t>
      </w:r>
      <w:r w:rsidR="00F8582D" w:rsidRPr="00084649">
        <w:rPr>
          <w:sz w:val="28"/>
          <w:szCs w:val="28"/>
        </w:rPr>
        <w:t>образованиями</w:t>
      </w:r>
      <w:r w:rsidR="00F8582D">
        <w:rPr>
          <w:sz w:val="28"/>
          <w:szCs w:val="28"/>
        </w:rPr>
        <w:t xml:space="preserve"> (Российской Федерацией, субъектом Российской Федерации) организации, реализующей инвестиционный проект</w:t>
      </w:r>
      <w:r w:rsidR="00F8582D" w:rsidRPr="00084649">
        <w:rPr>
          <w:sz w:val="28"/>
          <w:szCs w:val="28"/>
        </w:rPr>
        <w:t>, являющимися сторонами соглашения о защите и поощрении капиталовложений</w:t>
      </w:r>
      <w:r w:rsidR="004A7F73">
        <w:rPr>
          <w:sz w:val="28"/>
          <w:szCs w:val="28"/>
        </w:rPr>
        <w:t xml:space="preserve"> (далее – СЗПК)</w:t>
      </w:r>
      <w:r w:rsidR="00F8582D">
        <w:rPr>
          <w:sz w:val="28"/>
          <w:szCs w:val="28"/>
        </w:rPr>
        <w:t xml:space="preserve">. </w:t>
      </w:r>
      <w:r w:rsidR="00BB14DA">
        <w:rPr>
          <w:sz w:val="28"/>
          <w:szCs w:val="28"/>
        </w:rPr>
        <w:t>Методи</w:t>
      </w:r>
      <w:r w:rsidR="00B4304B">
        <w:rPr>
          <w:sz w:val="28"/>
          <w:szCs w:val="28"/>
        </w:rPr>
        <w:t>ческие рекомендации</w:t>
      </w:r>
      <w:r w:rsidR="00BB14DA">
        <w:rPr>
          <w:sz w:val="28"/>
          <w:szCs w:val="28"/>
        </w:rPr>
        <w:t xml:space="preserve"> основан</w:t>
      </w:r>
      <w:r w:rsidR="00B4304B">
        <w:rPr>
          <w:sz w:val="28"/>
          <w:szCs w:val="28"/>
        </w:rPr>
        <w:t>ы</w:t>
      </w:r>
      <w:r w:rsidR="00BB14DA">
        <w:rPr>
          <w:sz w:val="28"/>
          <w:szCs w:val="28"/>
        </w:rPr>
        <w:t xml:space="preserve"> на понятии реального ущерба, определенном в Федеральном законе </w:t>
      </w:r>
      <w:r w:rsidR="00BB14DA" w:rsidRPr="0067433B">
        <w:rPr>
          <w:sz w:val="28"/>
          <w:szCs w:val="28"/>
        </w:rPr>
        <w:t>от 01.04.2020 N69-ФЗ "О защите и поощрении капиталовложений в Российской Федерации"</w:t>
      </w:r>
      <w:r w:rsidR="00BB14DA">
        <w:rPr>
          <w:sz w:val="28"/>
          <w:szCs w:val="28"/>
        </w:rPr>
        <w:t xml:space="preserve"> (далее – ФЗ-69), а также п</w:t>
      </w:r>
      <w:r w:rsidR="00BB14DA" w:rsidRPr="001275FB">
        <w:rPr>
          <w:sz w:val="28"/>
          <w:szCs w:val="28"/>
        </w:rPr>
        <w:t>ринципа</w:t>
      </w:r>
      <w:r w:rsidR="00BB14DA">
        <w:rPr>
          <w:sz w:val="28"/>
          <w:szCs w:val="28"/>
        </w:rPr>
        <w:t>х его</w:t>
      </w:r>
      <w:r w:rsidR="00BB14DA" w:rsidRPr="001275FB">
        <w:rPr>
          <w:sz w:val="28"/>
          <w:szCs w:val="28"/>
        </w:rPr>
        <w:t xml:space="preserve"> определения </w:t>
      </w:r>
      <w:r w:rsidR="00BB14DA">
        <w:rPr>
          <w:sz w:val="28"/>
          <w:szCs w:val="28"/>
        </w:rPr>
        <w:t>в</w:t>
      </w:r>
      <w:r w:rsidR="00BB14DA" w:rsidRPr="001275FB">
        <w:rPr>
          <w:sz w:val="28"/>
          <w:szCs w:val="28"/>
        </w:rPr>
        <w:t xml:space="preserve"> соответствии с разъяснениями Верховного суда Р</w:t>
      </w:r>
      <w:r w:rsidR="00BB14DA">
        <w:rPr>
          <w:sz w:val="28"/>
          <w:szCs w:val="28"/>
        </w:rPr>
        <w:t xml:space="preserve">оссийской Федерации. </w:t>
      </w:r>
      <w:r w:rsidR="00B4304B">
        <w:rPr>
          <w:sz w:val="28"/>
          <w:szCs w:val="28"/>
        </w:rPr>
        <w:t>Методические рекомендации</w:t>
      </w:r>
      <w:r w:rsidR="00F8582D">
        <w:rPr>
          <w:sz w:val="28"/>
          <w:szCs w:val="28"/>
        </w:rPr>
        <w:t xml:space="preserve"> </w:t>
      </w:r>
      <w:r w:rsidR="00BB14DA">
        <w:rPr>
          <w:sz w:val="28"/>
          <w:szCs w:val="28"/>
        </w:rPr>
        <w:t>включа</w:t>
      </w:r>
      <w:r w:rsidR="00B4304B">
        <w:rPr>
          <w:sz w:val="28"/>
          <w:szCs w:val="28"/>
        </w:rPr>
        <w:t>ю</w:t>
      </w:r>
      <w:r w:rsidR="00BB14DA">
        <w:rPr>
          <w:sz w:val="28"/>
          <w:szCs w:val="28"/>
        </w:rPr>
        <w:t xml:space="preserve">т </w:t>
      </w:r>
      <w:r w:rsidR="00226F74">
        <w:rPr>
          <w:sz w:val="28"/>
          <w:szCs w:val="28"/>
        </w:rPr>
        <w:t>определение реального ущерба во всех случаях его возникновения, определенных</w:t>
      </w:r>
      <w:r w:rsidR="00BB14DA">
        <w:rPr>
          <w:sz w:val="28"/>
          <w:szCs w:val="28"/>
        </w:rPr>
        <w:t xml:space="preserve"> ФЗ-69, в том числе</w:t>
      </w:r>
      <w:r w:rsidR="00BF2AEB">
        <w:rPr>
          <w:sz w:val="28"/>
          <w:szCs w:val="28"/>
        </w:rPr>
        <w:t xml:space="preserve"> </w:t>
      </w:r>
      <w:r w:rsidR="00BB14DA">
        <w:rPr>
          <w:sz w:val="28"/>
          <w:szCs w:val="28"/>
        </w:rPr>
        <w:t>описание сути реального ущерба</w:t>
      </w:r>
      <w:r w:rsidR="00B4304B">
        <w:rPr>
          <w:sz w:val="28"/>
          <w:szCs w:val="28"/>
        </w:rPr>
        <w:t xml:space="preserve"> по каждому основанию возникновения</w:t>
      </w:r>
      <w:r w:rsidR="00BB14DA">
        <w:rPr>
          <w:sz w:val="28"/>
          <w:szCs w:val="28"/>
        </w:rPr>
        <w:t>, формулы  расчета, перечень п</w:t>
      </w:r>
      <w:r w:rsidR="00BB14DA" w:rsidRPr="00257716">
        <w:rPr>
          <w:sz w:val="28"/>
          <w:szCs w:val="28"/>
          <w:shd w:val="clear" w:color="auto" w:fill="FFFFFF"/>
        </w:rPr>
        <w:t>одтверждающи</w:t>
      </w:r>
      <w:r w:rsidR="00BB14DA">
        <w:rPr>
          <w:sz w:val="28"/>
          <w:szCs w:val="28"/>
          <w:shd w:val="clear" w:color="auto" w:fill="FFFFFF"/>
        </w:rPr>
        <w:t>х</w:t>
      </w:r>
      <w:r w:rsidR="00BB14DA" w:rsidRPr="00257716">
        <w:rPr>
          <w:sz w:val="28"/>
          <w:szCs w:val="28"/>
          <w:shd w:val="clear" w:color="auto" w:fill="FFFFFF"/>
        </w:rPr>
        <w:t xml:space="preserve"> документ</w:t>
      </w:r>
      <w:r w:rsidR="00BB14DA">
        <w:rPr>
          <w:sz w:val="28"/>
          <w:szCs w:val="28"/>
          <w:shd w:val="clear" w:color="auto" w:fill="FFFFFF"/>
        </w:rPr>
        <w:t>ов</w:t>
      </w:r>
      <w:r w:rsidR="00BB14DA" w:rsidRPr="00257716">
        <w:rPr>
          <w:sz w:val="28"/>
          <w:szCs w:val="28"/>
          <w:shd w:val="clear" w:color="auto" w:fill="FFFFFF"/>
        </w:rPr>
        <w:t xml:space="preserve"> для определения размера</w:t>
      </w:r>
      <w:r w:rsidR="00BB14DA">
        <w:rPr>
          <w:sz w:val="28"/>
          <w:szCs w:val="28"/>
          <w:shd w:val="clear" w:color="auto" w:fill="FFFFFF"/>
        </w:rPr>
        <w:t>.</w:t>
      </w:r>
    </w:p>
    <w:p w:rsidR="00B80C21" w:rsidRPr="006059BC" w:rsidRDefault="00BB14DA" w:rsidP="002D4ACD">
      <w:pPr>
        <w:spacing w:line="420" w:lineRule="exact"/>
        <w:ind w:firstLine="709"/>
        <w:contextualSpacing/>
        <w:jc w:val="both"/>
        <w:rPr>
          <w:sz w:val="28"/>
          <w:szCs w:val="28"/>
        </w:rPr>
      </w:pPr>
      <w:r w:rsidRPr="002A17B3">
        <w:rPr>
          <w:sz w:val="28"/>
          <w:szCs w:val="28"/>
        </w:rPr>
        <w:t xml:space="preserve">Разработка </w:t>
      </w:r>
      <w:r w:rsidR="005718FB">
        <w:rPr>
          <w:sz w:val="28"/>
          <w:szCs w:val="28"/>
        </w:rPr>
        <w:t>методи</w:t>
      </w:r>
      <w:r w:rsidR="00B4304B">
        <w:rPr>
          <w:sz w:val="28"/>
          <w:szCs w:val="28"/>
        </w:rPr>
        <w:t>ческих рекомендаций</w:t>
      </w:r>
      <w:r w:rsidRPr="002A17B3">
        <w:rPr>
          <w:sz w:val="28"/>
          <w:szCs w:val="28"/>
        </w:rPr>
        <w:t xml:space="preserve"> основывалась на </w:t>
      </w:r>
      <w:r w:rsidRPr="006059BC">
        <w:rPr>
          <w:sz w:val="28"/>
          <w:szCs w:val="28"/>
        </w:rPr>
        <w:t>результатах прикладной НИР по теме «Разработка методических рекомендаций для получения государственной финансовой поддержки организациями, реализующими инвестиционные проекты в рамках соглашения о защите и поощрении капиталовложений» (ВТК-ГЗ-ПИ-</w:t>
      </w:r>
      <w:r w:rsidR="00BF57EA" w:rsidRPr="006059BC">
        <w:rPr>
          <w:sz w:val="28"/>
          <w:szCs w:val="28"/>
        </w:rPr>
        <w:t>16</w:t>
      </w:r>
      <w:r w:rsidRPr="006059BC">
        <w:rPr>
          <w:sz w:val="28"/>
          <w:szCs w:val="28"/>
        </w:rPr>
        <w:t>-22)</w:t>
      </w:r>
      <w:r w:rsidR="00892A04" w:rsidRPr="006059BC">
        <w:rPr>
          <w:sz w:val="28"/>
          <w:szCs w:val="28"/>
        </w:rPr>
        <w:t>,</w:t>
      </w:r>
      <w:r w:rsidR="002D4ACD">
        <w:rPr>
          <w:sz w:val="28"/>
          <w:szCs w:val="28"/>
        </w:rPr>
        <w:t xml:space="preserve"> а также </w:t>
      </w:r>
      <w:r w:rsidR="00232CF3" w:rsidRPr="006059BC">
        <w:rPr>
          <w:sz w:val="28"/>
          <w:szCs w:val="28"/>
        </w:rPr>
        <w:t xml:space="preserve">предыдущих научных исследований, выполняемых в рамках </w:t>
      </w:r>
      <w:r w:rsidR="002A17B3" w:rsidRPr="006059BC">
        <w:rPr>
          <w:sz w:val="28"/>
          <w:szCs w:val="28"/>
        </w:rPr>
        <w:t xml:space="preserve">НИР </w:t>
      </w:r>
      <w:r w:rsidR="006059BC" w:rsidRPr="006059BC">
        <w:rPr>
          <w:sz w:val="28"/>
          <w:szCs w:val="28"/>
        </w:rPr>
        <w:t xml:space="preserve">«Оценка инвестиционных проектов в современных условиях» </w:t>
      </w:r>
      <w:r w:rsidR="006059BC">
        <w:rPr>
          <w:sz w:val="28"/>
          <w:szCs w:val="28"/>
        </w:rPr>
        <w:t>(</w:t>
      </w:r>
      <w:r w:rsidR="006059BC" w:rsidRPr="006059BC">
        <w:rPr>
          <w:sz w:val="28"/>
          <w:szCs w:val="28"/>
        </w:rPr>
        <w:t xml:space="preserve">приказ </w:t>
      </w:r>
      <w:r w:rsidR="006059BC">
        <w:rPr>
          <w:sz w:val="28"/>
          <w:szCs w:val="28"/>
        </w:rPr>
        <w:t xml:space="preserve">Финуниверситета </w:t>
      </w:r>
      <w:r w:rsidR="006059BC" w:rsidRPr="006059BC">
        <w:rPr>
          <w:sz w:val="28"/>
          <w:szCs w:val="28"/>
        </w:rPr>
        <w:t>№1115/о от 06.05.2019</w:t>
      </w:r>
      <w:r w:rsidR="006059BC">
        <w:rPr>
          <w:sz w:val="28"/>
          <w:szCs w:val="28"/>
        </w:rPr>
        <w:t xml:space="preserve">), </w:t>
      </w:r>
      <w:r w:rsidR="002A17B3" w:rsidRPr="006059BC">
        <w:rPr>
          <w:sz w:val="28"/>
          <w:szCs w:val="28"/>
        </w:rPr>
        <w:t>«Оценка инвестиционной привлекательности российских компаний» (приказ Финуниверситета  №0654</w:t>
      </w:r>
      <w:r w:rsidR="006059BC" w:rsidRPr="006059BC">
        <w:rPr>
          <w:sz w:val="28"/>
          <w:szCs w:val="28"/>
        </w:rPr>
        <w:t>/о</w:t>
      </w:r>
      <w:r w:rsidR="006059BC">
        <w:rPr>
          <w:sz w:val="28"/>
          <w:szCs w:val="28"/>
        </w:rPr>
        <w:t xml:space="preserve"> от </w:t>
      </w:r>
      <w:r w:rsidR="006059BC" w:rsidRPr="006059BC">
        <w:rPr>
          <w:sz w:val="28"/>
          <w:szCs w:val="28"/>
        </w:rPr>
        <w:t>01.04.2020</w:t>
      </w:r>
      <w:r w:rsidR="002A17B3" w:rsidRPr="006059BC">
        <w:rPr>
          <w:sz w:val="28"/>
          <w:szCs w:val="28"/>
        </w:rPr>
        <w:t>), гранта РФФИ 19-010-00678/19 "Развитие финансово-экономических механизмов привлечения инвестиций в природоохранные проекты".</w:t>
      </w:r>
    </w:p>
    <w:p w:rsidR="00981D28" w:rsidRDefault="002D4ACD" w:rsidP="002D4ACD">
      <w:pPr>
        <w:spacing w:line="420" w:lineRule="exact"/>
        <w:ind w:firstLine="709"/>
        <w:contextualSpacing/>
        <w:jc w:val="both"/>
        <w:rPr>
          <w:sz w:val="28"/>
          <w:szCs w:val="28"/>
        </w:rPr>
      </w:pPr>
      <w:r w:rsidRPr="002E274B">
        <w:rPr>
          <w:b/>
          <w:bCs/>
          <w:sz w:val="28"/>
          <w:szCs w:val="28"/>
        </w:rPr>
        <w:t>Степень готовности к внедрению</w:t>
      </w:r>
      <w:r w:rsidRPr="002E274B">
        <w:rPr>
          <w:sz w:val="28"/>
          <w:szCs w:val="28"/>
        </w:rPr>
        <w:t>.</w:t>
      </w:r>
      <w:r w:rsidR="005718FB">
        <w:rPr>
          <w:sz w:val="28"/>
          <w:szCs w:val="28"/>
        </w:rPr>
        <w:t xml:space="preserve"> </w:t>
      </w:r>
      <w:r w:rsidR="00B4304B">
        <w:rPr>
          <w:sz w:val="28"/>
          <w:szCs w:val="28"/>
        </w:rPr>
        <w:t>Методические рекомендации</w:t>
      </w:r>
      <w:r w:rsidR="005718FB">
        <w:rPr>
          <w:sz w:val="28"/>
          <w:szCs w:val="28"/>
        </w:rPr>
        <w:t xml:space="preserve"> готов</w:t>
      </w:r>
      <w:r w:rsidR="00B4304B">
        <w:rPr>
          <w:sz w:val="28"/>
          <w:szCs w:val="28"/>
        </w:rPr>
        <w:t xml:space="preserve">ы для расчета и обоснования размера </w:t>
      </w:r>
      <w:r w:rsidR="00B4304B" w:rsidRPr="00865F76">
        <w:rPr>
          <w:sz w:val="28"/>
          <w:szCs w:val="28"/>
        </w:rPr>
        <w:t>реального ущерба</w:t>
      </w:r>
      <w:r w:rsidR="00CA1F01">
        <w:rPr>
          <w:sz w:val="28"/>
          <w:szCs w:val="28"/>
        </w:rPr>
        <w:t xml:space="preserve">, полученного  организацией в рамках реализации </w:t>
      </w:r>
      <w:r w:rsidR="004A7F73">
        <w:rPr>
          <w:sz w:val="28"/>
          <w:szCs w:val="28"/>
        </w:rPr>
        <w:t>СЗПК</w:t>
      </w:r>
      <w:r w:rsidR="00981D28">
        <w:rPr>
          <w:sz w:val="28"/>
          <w:szCs w:val="28"/>
        </w:rPr>
        <w:t xml:space="preserve"> и подлежащего возмещению</w:t>
      </w:r>
      <w:r w:rsidR="00CA1F01">
        <w:rPr>
          <w:sz w:val="28"/>
          <w:szCs w:val="28"/>
        </w:rPr>
        <w:t xml:space="preserve"> со стороны</w:t>
      </w:r>
      <w:r w:rsidR="00B4304B" w:rsidRPr="00865F76">
        <w:rPr>
          <w:sz w:val="28"/>
          <w:szCs w:val="28"/>
        </w:rPr>
        <w:t xml:space="preserve"> публично-правов</w:t>
      </w:r>
      <w:r w:rsidR="00CA1F01">
        <w:rPr>
          <w:sz w:val="28"/>
          <w:szCs w:val="28"/>
        </w:rPr>
        <w:t>ого</w:t>
      </w:r>
      <w:r w:rsidR="00B4304B" w:rsidRPr="00865F76">
        <w:rPr>
          <w:sz w:val="28"/>
          <w:szCs w:val="28"/>
        </w:rPr>
        <w:t xml:space="preserve"> </w:t>
      </w:r>
      <w:r w:rsidR="00B4304B" w:rsidRPr="00084649">
        <w:rPr>
          <w:sz w:val="28"/>
          <w:szCs w:val="28"/>
        </w:rPr>
        <w:t>образовани</w:t>
      </w:r>
      <w:r w:rsidR="00CA1F01">
        <w:rPr>
          <w:sz w:val="28"/>
          <w:szCs w:val="28"/>
        </w:rPr>
        <w:t xml:space="preserve">я, в условиях отсутствия утвержденной </w:t>
      </w:r>
      <w:r w:rsidR="00981D28">
        <w:rPr>
          <w:sz w:val="28"/>
          <w:szCs w:val="28"/>
        </w:rPr>
        <w:t xml:space="preserve">Правительством Российской Федерации </w:t>
      </w:r>
      <w:r w:rsidR="00CA1F01">
        <w:rPr>
          <w:sz w:val="28"/>
          <w:szCs w:val="28"/>
        </w:rPr>
        <w:t xml:space="preserve">методики </w:t>
      </w:r>
      <w:r w:rsidR="00981D28">
        <w:rPr>
          <w:sz w:val="28"/>
          <w:szCs w:val="28"/>
        </w:rPr>
        <w:t xml:space="preserve">определения реального ущерба в соответствии с п.2 ч. 6 ст. 12 ФЗ-69. </w:t>
      </w:r>
    </w:p>
    <w:p w:rsidR="00CA1F01" w:rsidRDefault="00981D28" w:rsidP="00981D28">
      <w:pPr>
        <w:spacing w:line="420" w:lineRule="exact"/>
        <w:ind w:firstLine="709"/>
        <w:contextualSpacing/>
        <w:jc w:val="both"/>
        <w:rPr>
          <w:sz w:val="28"/>
          <w:szCs w:val="28"/>
        </w:rPr>
      </w:pPr>
      <w:r w:rsidRPr="002E274B">
        <w:rPr>
          <w:b/>
          <w:bCs/>
          <w:sz w:val="28"/>
          <w:szCs w:val="28"/>
        </w:rPr>
        <w:t>Новизна:</w:t>
      </w:r>
      <w:r w:rsidR="00CA1F01">
        <w:rPr>
          <w:sz w:val="28"/>
          <w:szCs w:val="28"/>
        </w:rPr>
        <w:t xml:space="preserve"> </w:t>
      </w:r>
      <w:r w:rsidR="00B45008">
        <w:rPr>
          <w:sz w:val="28"/>
          <w:szCs w:val="28"/>
        </w:rPr>
        <w:t xml:space="preserve">определено содержание реального ущерба </w:t>
      </w:r>
      <w:r w:rsidR="00F274B6">
        <w:rPr>
          <w:sz w:val="28"/>
          <w:szCs w:val="28"/>
        </w:rPr>
        <w:t xml:space="preserve">в </w:t>
      </w:r>
      <w:r w:rsidR="00B45008">
        <w:rPr>
          <w:sz w:val="28"/>
          <w:szCs w:val="28"/>
        </w:rPr>
        <w:t>случа</w:t>
      </w:r>
      <w:r w:rsidR="00F274B6">
        <w:rPr>
          <w:sz w:val="28"/>
          <w:szCs w:val="28"/>
        </w:rPr>
        <w:t>е</w:t>
      </w:r>
      <w:r w:rsidR="00B45008">
        <w:rPr>
          <w:sz w:val="28"/>
          <w:szCs w:val="28"/>
        </w:rPr>
        <w:t xml:space="preserve"> </w:t>
      </w:r>
      <w:r w:rsidR="00B45008" w:rsidRPr="005243BE">
        <w:rPr>
          <w:sz w:val="28"/>
          <w:szCs w:val="28"/>
        </w:rPr>
        <w:t>нарушения стабилизационной оговорки</w:t>
      </w:r>
      <w:r w:rsidR="00F274B6">
        <w:rPr>
          <w:sz w:val="28"/>
          <w:szCs w:val="28"/>
        </w:rPr>
        <w:t xml:space="preserve">, </w:t>
      </w:r>
      <w:r w:rsidR="00F274B6" w:rsidRPr="00CE14B0">
        <w:rPr>
          <w:sz w:val="28"/>
          <w:szCs w:val="28"/>
        </w:rPr>
        <w:t xml:space="preserve">сроков и (или) объемов предоставления субсидий кредитору, предоставляющего кредит </w:t>
      </w:r>
      <w:r w:rsidR="004A7F73">
        <w:rPr>
          <w:sz w:val="28"/>
          <w:szCs w:val="28"/>
        </w:rPr>
        <w:t>организации, реализующей проект</w:t>
      </w:r>
      <w:r w:rsidR="00F274B6" w:rsidRPr="00CE14B0">
        <w:rPr>
          <w:sz w:val="28"/>
          <w:szCs w:val="28"/>
        </w:rPr>
        <w:t xml:space="preserve"> по льготной ставке в рамках СЗПК</w:t>
      </w:r>
      <w:r w:rsidR="00243FF3">
        <w:rPr>
          <w:sz w:val="28"/>
          <w:szCs w:val="28"/>
        </w:rPr>
        <w:t xml:space="preserve">, а также </w:t>
      </w:r>
      <w:r w:rsidR="00F274B6">
        <w:rPr>
          <w:sz w:val="28"/>
          <w:szCs w:val="28"/>
        </w:rPr>
        <w:t>и</w:t>
      </w:r>
      <w:r w:rsidR="00F274B6" w:rsidRPr="00200537">
        <w:rPr>
          <w:sz w:val="28"/>
          <w:szCs w:val="28"/>
        </w:rPr>
        <w:t>зменени</w:t>
      </w:r>
      <w:r w:rsidR="00243FF3">
        <w:rPr>
          <w:sz w:val="28"/>
          <w:szCs w:val="28"/>
        </w:rPr>
        <w:t>я</w:t>
      </w:r>
      <w:r w:rsidR="00F274B6" w:rsidRPr="00200537">
        <w:rPr>
          <w:sz w:val="28"/>
          <w:szCs w:val="28"/>
        </w:rPr>
        <w:t xml:space="preserve"> значений долгосрочных параметров регулирования деятельности регулируем</w:t>
      </w:r>
      <w:r w:rsidR="00F274B6">
        <w:rPr>
          <w:sz w:val="28"/>
          <w:szCs w:val="28"/>
        </w:rPr>
        <w:t>ых</w:t>
      </w:r>
      <w:r w:rsidR="00F274B6" w:rsidRPr="00200537">
        <w:rPr>
          <w:sz w:val="28"/>
          <w:szCs w:val="28"/>
        </w:rPr>
        <w:t xml:space="preserve"> организаци</w:t>
      </w:r>
      <w:r w:rsidR="00F274B6">
        <w:rPr>
          <w:sz w:val="28"/>
          <w:szCs w:val="28"/>
        </w:rPr>
        <w:t>й</w:t>
      </w:r>
      <w:r w:rsidR="004A7F73">
        <w:rPr>
          <w:sz w:val="28"/>
          <w:szCs w:val="28"/>
        </w:rPr>
        <w:t xml:space="preserve">, заключивших связанные </w:t>
      </w:r>
      <w:r w:rsidR="004A7F73" w:rsidRPr="00200537">
        <w:rPr>
          <w:sz w:val="28"/>
          <w:szCs w:val="28"/>
        </w:rPr>
        <w:t>договор</w:t>
      </w:r>
      <w:r w:rsidR="004A7F73">
        <w:rPr>
          <w:sz w:val="28"/>
          <w:szCs w:val="28"/>
        </w:rPr>
        <w:t xml:space="preserve">ы с организацией, реализующей проект </w:t>
      </w:r>
      <w:r w:rsidR="004A7F73" w:rsidRPr="00200537">
        <w:rPr>
          <w:color w:val="000000"/>
          <w:sz w:val="28"/>
          <w:szCs w:val="28"/>
          <w:shd w:val="clear" w:color="auto" w:fill="FFFFFF"/>
        </w:rPr>
        <w:t>в рамках СЗПК</w:t>
      </w:r>
      <w:r w:rsidR="004A7F73">
        <w:rPr>
          <w:color w:val="000000"/>
          <w:sz w:val="28"/>
          <w:szCs w:val="28"/>
          <w:shd w:val="clear" w:color="auto" w:fill="FFFFFF"/>
        </w:rPr>
        <w:t xml:space="preserve">. Для каждого основания возникновения реального ущерба даны </w:t>
      </w:r>
      <w:r w:rsidR="00B45008">
        <w:rPr>
          <w:sz w:val="28"/>
          <w:szCs w:val="28"/>
        </w:rPr>
        <w:t>формулы расчета</w:t>
      </w:r>
      <w:r w:rsidR="004A7F73">
        <w:rPr>
          <w:sz w:val="28"/>
          <w:szCs w:val="28"/>
        </w:rPr>
        <w:t xml:space="preserve"> и перечень документов, необходимых для определения его размера. </w:t>
      </w:r>
      <w:r w:rsidR="006A35BD">
        <w:rPr>
          <w:sz w:val="28"/>
          <w:szCs w:val="28"/>
        </w:rPr>
        <w:t>При этом в</w:t>
      </w:r>
      <w:r w:rsidR="004A7F73">
        <w:rPr>
          <w:sz w:val="28"/>
          <w:szCs w:val="28"/>
        </w:rPr>
        <w:t xml:space="preserve"> ФЗ-69 дано только </w:t>
      </w:r>
      <w:r w:rsidR="006A35BD">
        <w:rPr>
          <w:sz w:val="28"/>
          <w:szCs w:val="28"/>
        </w:rPr>
        <w:t>понятие</w:t>
      </w:r>
      <w:r w:rsidR="004A7F73">
        <w:rPr>
          <w:sz w:val="28"/>
          <w:szCs w:val="28"/>
        </w:rPr>
        <w:t xml:space="preserve"> реального ущерба</w:t>
      </w:r>
      <w:r w:rsidR="006A35BD">
        <w:rPr>
          <w:sz w:val="28"/>
          <w:szCs w:val="28"/>
        </w:rPr>
        <w:t xml:space="preserve"> в целом, порядок его определения отсутствует.</w:t>
      </w:r>
      <w:r w:rsidR="004A7F73">
        <w:rPr>
          <w:sz w:val="28"/>
          <w:szCs w:val="28"/>
        </w:rPr>
        <w:t xml:space="preserve"> </w:t>
      </w:r>
    </w:p>
    <w:p w:rsidR="00255F2A" w:rsidRDefault="00981D28" w:rsidP="00FD79EA">
      <w:pPr>
        <w:spacing w:line="420" w:lineRule="exact"/>
        <w:ind w:firstLine="709"/>
        <w:jc w:val="both"/>
        <w:rPr>
          <w:bCs/>
          <w:sz w:val="28"/>
          <w:szCs w:val="28"/>
        </w:rPr>
      </w:pPr>
      <w:r w:rsidRPr="002E274B">
        <w:rPr>
          <w:b/>
          <w:bCs/>
          <w:sz w:val="28"/>
          <w:szCs w:val="28"/>
        </w:rPr>
        <w:t>Экономический эффект применения</w:t>
      </w:r>
      <w:r>
        <w:rPr>
          <w:b/>
          <w:bCs/>
          <w:sz w:val="28"/>
          <w:szCs w:val="28"/>
        </w:rPr>
        <w:t>:</w:t>
      </w:r>
      <w:r w:rsidR="00FD79EA">
        <w:rPr>
          <w:b/>
          <w:bCs/>
          <w:sz w:val="28"/>
          <w:szCs w:val="28"/>
        </w:rPr>
        <w:t xml:space="preserve"> </w:t>
      </w:r>
      <w:r w:rsidR="00255F2A" w:rsidRPr="00255F2A">
        <w:rPr>
          <w:bCs/>
          <w:sz w:val="28"/>
          <w:szCs w:val="28"/>
        </w:rPr>
        <w:t>обоснование</w:t>
      </w:r>
      <w:r w:rsidR="00255F2A">
        <w:rPr>
          <w:b/>
          <w:bCs/>
          <w:sz w:val="28"/>
          <w:szCs w:val="28"/>
        </w:rPr>
        <w:t xml:space="preserve"> </w:t>
      </w:r>
      <w:r w:rsidR="00255F2A" w:rsidRPr="00255F2A">
        <w:rPr>
          <w:bCs/>
          <w:sz w:val="28"/>
          <w:szCs w:val="28"/>
        </w:rPr>
        <w:t xml:space="preserve">размера  </w:t>
      </w:r>
      <w:r w:rsidR="00255F2A" w:rsidRPr="00865F76">
        <w:rPr>
          <w:sz w:val="28"/>
          <w:szCs w:val="28"/>
        </w:rPr>
        <w:t>реального ущерба</w:t>
      </w:r>
      <w:r w:rsidR="00255F2A" w:rsidRPr="00FD79EA">
        <w:rPr>
          <w:bCs/>
          <w:sz w:val="28"/>
          <w:szCs w:val="28"/>
        </w:rPr>
        <w:t xml:space="preserve"> </w:t>
      </w:r>
      <w:r w:rsidR="00255F2A">
        <w:rPr>
          <w:bCs/>
          <w:sz w:val="28"/>
          <w:szCs w:val="28"/>
        </w:rPr>
        <w:t xml:space="preserve">для досудебной и судебной защиты </w:t>
      </w:r>
      <w:r w:rsidR="00FD79EA">
        <w:rPr>
          <w:bCs/>
          <w:sz w:val="28"/>
          <w:szCs w:val="28"/>
        </w:rPr>
        <w:t xml:space="preserve">экономических интересов организаций, </w:t>
      </w:r>
      <w:r w:rsidR="00255F2A">
        <w:rPr>
          <w:bCs/>
          <w:sz w:val="28"/>
          <w:szCs w:val="28"/>
        </w:rPr>
        <w:t xml:space="preserve">что повысит инвестиционную привлекательность </w:t>
      </w:r>
      <w:r w:rsidR="00FD79EA">
        <w:rPr>
          <w:bCs/>
          <w:sz w:val="28"/>
          <w:szCs w:val="28"/>
        </w:rPr>
        <w:t>проект</w:t>
      </w:r>
      <w:r w:rsidR="00255F2A">
        <w:rPr>
          <w:bCs/>
          <w:sz w:val="28"/>
          <w:szCs w:val="28"/>
        </w:rPr>
        <w:t>ов</w:t>
      </w:r>
      <w:r w:rsidR="00432DD7">
        <w:rPr>
          <w:bCs/>
          <w:sz w:val="28"/>
          <w:szCs w:val="28"/>
        </w:rPr>
        <w:t xml:space="preserve">, </w:t>
      </w:r>
      <w:r w:rsidR="00B45008">
        <w:rPr>
          <w:bCs/>
          <w:sz w:val="28"/>
          <w:szCs w:val="28"/>
        </w:rPr>
        <w:t>реализуемых</w:t>
      </w:r>
      <w:r w:rsidR="00FD79EA">
        <w:rPr>
          <w:bCs/>
          <w:sz w:val="28"/>
          <w:szCs w:val="28"/>
        </w:rPr>
        <w:t xml:space="preserve"> в рамках </w:t>
      </w:r>
      <w:r w:rsidR="004A7F73">
        <w:rPr>
          <w:bCs/>
          <w:sz w:val="28"/>
          <w:szCs w:val="28"/>
        </w:rPr>
        <w:t>СЗПК</w:t>
      </w:r>
      <w:r w:rsidR="00255F2A">
        <w:rPr>
          <w:bCs/>
          <w:sz w:val="28"/>
          <w:szCs w:val="28"/>
        </w:rPr>
        <w:t>.</w:t>
      </w:r>
    </w:p>
    <w:p w:rsidR="00981D28" w:rsidRPr="006059BC" w:rsidRDefault="00981D28" w:rsidP="00E97D98">
      <w:pPr>
        <w:spacing w:line="420" w:lineRule="exact"/>
        <w:ind w:firstLine="709"/>
        <w:jc w:val="both"/>
        <w:rPr>
          <w:sz w:val="28"/>
          <w:szCs w:val="28"/>
        </w:rPr>
      </w:pPr>
      <w:r w:rsidRPr="002E274B">
        <w:rPr>
          <w:b/>
          <w:bCs/>
          <w:sz w:val="28"/>
          <w:szCs w:val="28"/>
        </w:rPr>
        <w:t>Область возможного использования:</w:t>
      </w:r>
      <w:r>
        <w:rPr>
          <w:b/>
          <w:bCs/>
          <w:sz w:val="28"/>
          <w:szCs w:val="28"/>
        </w:rPr>
        <w:t xml:space="preserve"> </w:t>
      </w:r>
      <w:r w:rsidRPr="00981D28">
        <w:rPr>
          <w:bCs/>
          <w:sz w:val="28"/>
          <w:szCs w:val="28"/>
        </w:rPr>
        <w:t>м</w:t>
      </w:r>
      <w:r>
        <w:rPr>
          <w:sz w:val="28"/>
          <w:szCs w:val="28"/>
        </w:rPr>
        <w:t>етодические рекомендации</w:t>
      </w:r>
      <w:r w:rsidR="00E97D98">
        <w:rPr>
          <w:sz w:val="28"/>
          <w:szCs w:val="28"/>
        </w:rPr>
        <w:t xml:space="preserve"> могут быть использованы Министерством финансов Российской Федерации  при разработке методики </w:t>
      </w:r>
      <w:r w:rsidR="00E97D98" w:rsidRPr="00865F76">
        <w:rPr>
          <w:sz w:val="28"/>
          <w:szCs w:val="28"/>
        </w:rPr>
        <w:t>определени</w:t>
      </w:r>
      <w:r w:rsidR="00E97D98">
        <w:rPr>
          <w:sz w:val="28"/>
          <w:szCs w:val="28"/>
        </w:rPr>
        <w:t>я</w:t>
      </w:r>
      <w:r w:rsidR="00E97D98" w:rsidRPr="00865F76">
        <w:rPr>
          <w:sz w:val="28"/>
          <w:szCs w:val="28"/>
        </w:rPr>
        <w:t xml:space="preserve"> реального ущерба, подлежащ</w:t>
      </w:r>
      <w:r w:rsidR="00E97D98">
        <w:rPr>
          <w:sz w:val="28"/>
          <w:szCs w:val="28"/>
        </w:rPr>
        <w:t>его</w:t>
      </w:r>
      <w:r w:rsidR="00E97D98" w:rsidRPr="00865F76">
        <w:rPr>
          <w:sz w:val="28"/>
          <w:szCs w:val="28"/>
        </w:rPr>
        <w:t xml:space="preserve"> возмещению публично-правовыми </w:t>
      </w:r>
      <w:r w:rsidR="00E97D98" w:rsidRPr="00084649">
        <w:rPr>
          <w:sz w:val="28"/>
          <w:szCs w:val="28"/>
        </w:rPr>
        <w:t>образованиями</w:t>
      </w:r>
      <w:r w:rsidR="00E97D98">
        <w:rPr>
          <w:sz w:val="28"/>
          <w:szCs w:val="28"/>
        </w:rPr>
        <w:t xml:space="preserve"> (Российской Федерацией, субъектом Российской Федерации) организации, реализующей инвестиционный проект</w:t>
      </w:r>
      <w:r w:rsidR="00E97D98" w:rsidRPr="00084649">
        <w:rPr>
          <w:sz w:val="28"/>
          <w:szCs w:val="28"/>
        </w:rPr>
        <w:t>, являющимися сторонами соглашения о защите и поощрении капиталовложений</w:t>
      </w:r>
      <w:r w:rsidR="00E97D98">
        <w:rPr>
          <w:sz w:val="28"/>
          <w:szCs w:val="28"/>
        </w:rPr>
        <w:t>, которая в соответствии с ФЗ-69 должна быть утверждена Правительством Российской Федерации.</w:t>
      </w:r>
    </w:p>
    <w:sectPr w:rsidR="00981D28" w:rsidRPr="006059B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02E" w:rsidRDefault="0052102E" w:rsidP="00F8582D">
      <w:r>
        <w:separator/>
      </w:r>
    </w:p>
  </w:endnote>
  <w:endnote w:type="continuationSeparator" w:id="0">
    <w:p w:rsidR="0052102E" w:rsidRDefault="0052102E" w:rsidP="00F85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02E" w:rsidRDefault="0052102E" w:rsidP="00F8582D">
      <w:r>
        <w:separator/>
      </w:r>
    </w:p>
  </w:footnote>
  <w:footnote w:type="continuationSeparator" w:id="0">
    <w:p w:rsidR="0052102E" w:rsidRDefault="0052102E" w:rsidP="00F858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18"/>
    <w:rsid w:val="00035BAD"/>
    <w:rsid w:val="00070321"/>
    <w:rsid w:val="00226F74"/>
    <w:rsid w:val="00232CF3"/>
    <w:rsid w:val="00243FF3"/>
    <w:rsid w:val="00255F2A"/>
    <w:rsid w:val="002A17B3"/>
    <w:rsid w:val="002D4ACD"/>
    <w:rsid w:val="00432DD7"/>
    <w:rsid w:val="004A7F73"/>
    <w:rsid w:val="0052102E"/>
    <w:rsid w:val="005718FB"/>
    <w:rsid w:val="00574018"/>
    <w:rsid w:val="006059BC"/>
    <w:rsid w:val="006871E4"/>
    <w:rsid w:val="006A35BD"/>
    <w:rsid w:val="00877CF2"/>
    <w:rsid w:val="00892A04"/>
    <w:rsid w:val="008A012E"/>
    <w:rsid w:val="00981D28"/>
    <w:rsid w:val="00AC2DE6"/>
    <w:rsid w:val="00AE31CB"/>
    <w:rsid w:val="00B4304B"/>
    <w:rsid w:val="00B45008"/>
    <w:rsid w:val="00B80C21"/>
    <w:rsid w:val="00BB14DA"/>
    <w:rsid w:val="00BF2AEB"/>
    <w:rsid w:val="00BF57EA"/>
    <w:rsid w:val="00CA1F01"/>
    <w:rsid w:val="00CF2640"/>
    <w:rsid w:val="00DB508C"/>
    <w:rsid w:val="00E97D98"/>
    <w:rsid w:val="00F274B6"/>
    <w:rsid w:val="00F37E99"/>
    <w:rsid w:val="00F43EE1"/>
    <w:rsid w:val="00F8582D"/>
    <w:rsid w:val="00FD79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FE0D4C-0D24-4F1C-87D2-A240779C0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0C2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E31CB"/>
    <w:rPr>
      <w:color w:val="0000FF" w:themeColor="hyperlink"/>
      <w:u w:val="single"/>
    </w:rPr>
  </w:style>
  <w:style w:type="table" w:styleId="a4">
    <w:name w:val="Table Grid"/>
    <w:basedOn w:val="a1"/>
    <w:uiPriority w:val="39"/>
    <w:rsid w:val="008A01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8A012E"/>
    <w:rPr>
      <w:b/>
      <w:bCs/>
    </w:rPr>
  </w:style>
  <w:style w:type="paragraph" w:styleId="a6">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7"/>
    <w:unhideWhenUsed/>
    <w:rsid w:val="00F8582D"/>
    <w:rPr>
      <w:sz w:val="20"/>
      <w:szCs w:val="20"/>
    </w:rPr>
  </w:style>
  <w:style w:type="character" w:customStyle="1" w:styleId="a7">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6"/>
    <w:rsid w:val="00F8582D"/>
    <w:rPr>
      <w:rFonts w:ascii="Times New Roman" w:eastAsia="Times New Roman" w:hAnsi="Times New Roman" w:cs="Times New Roman"/>
      <w:sz w:val="20"/>
      <w:szCs w:val="20"/>
      <w:lang w:eastAsia="ru-RU"/>
    </w:rPr>
  </w:style>
  <w:style w:type="character" w:styleId="a8">
    <w:name w:val="footnote reference"/>
    <w:basedOn w:val="a0"/>
    <w:uiPriority w:val="99"/>
    <w:semiHidden/>
    <w:unhideWhenUsed/>
    <w:rsid w:val="00F858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9419928962A8D418B3DFC760979C5B6" ma:contentTypeVersion="1" ma:contentTypeDescription="Создание документа." ma:contentTypeScope="" ma:versionID="e3fe6b438f56f71b74cd4c6a3dc6c8b9">
  <xsd:schema xmlns:xsd="http://www.w3.org/2001/XMLSchema" xmlns:xs="http://www.w3.org/2001/XMLSchema" xmlns:p="http://schemas.microsoft.com/office/2006/metadata/properties" xmlns:ns2="b545a042-29c2-4f0a-932d-d96c064ae9ed" targetNamespace="http://schemas.microsoft.com/office/2006/metadata/properties" ma:root="true" ma:fieldsID="0329678ff4acef0a306ae52ae5bf9457" ns2:_="">
    <xsd:import namespace="b545a042-29c2-4f0a-932d-d96c064ae9e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a042-29c2-4f0a-932d-d96c064ae9e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AE482A-AE9A-44DC-82D0-45C42132B81B}"/>
</file>

<file path=customXml/itemProps2.xml><?xml version="1.0" encoding="utf-8"?>
<ds:datastoreItem xmlns:ds="http://schemas.openxmlformats.org/officeDocument/2006/customXml" ds:itemID="{E05E4155-5FBC-492D-A1D4-BC5BC428A7AC}"/>
</file>

<file path=customXml/itemProps3.xml><?xml version="1.0" encoding="utf-8"?>
<ds:datastoreItem xmlns:ds="http://schemas.openxmlformats.org/officeDocument/2006/customXml" ds:itemID="{D4515D74-CEC8-47B5-817E-EE4DC296BDCE}"/>
</file>

<file path=docProps/app.xml><?xml version="1.0" encoding="utf-8"?>
<Properties xmlns="http://schemas.openxmlformats.org/officeDocument/2006/extended-properties" xmlns:vt="http://schemas.openxmlformats.org/officeDocument/2006/docPropsVTypes">
  <Template>Normal</Template>
  <TotalTime>1</TotalTime>
  <Pages>3</Pages>
  <Words>675</Words>
  <Characters>3851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РИД – ноу-хау Методические рекомендации по определению реального ущерба, подлежащего возмещению Российской Федерацией и (или) субъектом (субъектами) Российской Федерации, являющимися сторонами соглашения о защите и поощрении капиталовложений</dc:title>
  <dc:subject/>
  <dc:creator>1</dc:creator>
  <cp:keywords/>
  <dc:description/>
  <cp:lastModifiedBy>Белгородцев Виктор Петрович</cp:lastModifiedBy>
  <cp:revision>2</cp:revision>
  <dcterms:created xsi:type="dcterms:W3CDTF">2022-11-25T13:27:00Z</dcterms:created>
  <dcterms:modified xsi:type="dcterms:W3CDTF">2022-11-25T13:27:00Z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0x01010089419928962A8D418B3DFC760979C5B6</vt:lpwstr>
  </property>
</Properties>
</file>