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239E" w14:textId="77777777" w:rsidR="00662C24" w:rsidRP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C24">
        <w:rPr>
          <w:rFonts w:ascii="Times New Roman" w:hAnsi="Times New Roman" w:cs="Times New Roman"/>
          <w:b/>
          <w:bCs/>
          <w:sz w:val="28"/>
          <w:szCs w:val="28"/>
        </w:rPr>
        <w:t xml:space="preserve">Рекламно-техническое описание </w:t>
      </w:r>
    </w:p>
    <w:p w14:paraId="12A48B06" w14:textId="77777777" w:rsidR="00662C24" w:rsidRP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C2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 интеллектуальной деятельности </w:t>
      </w:r>
    </w:p>
    <w:p w14:paraId="495CF705" w14:textId="77777777" w:rsidR="00662C24" w:rsidRDefault="00662C24" w:rsidP="00662C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8A6817" w14:textId="4D762B03" w:rsidR="00A17FF9" w:rsidRPr="00301887" w:rsidRDefault="00A17FF9" w:rsidP="00662C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14:paraId="2CC818B1" w14:textId="77777777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14:paraId="13680C14" w14:textId="337B80D3"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4837288"/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84587111"/>
      <w:bookmarkStart w:id="2" w:name="_GoBack"/>
      <w:r w:rsidR="00662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662C24" w:rsidRPr="00662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етодические рекомендации по комплексному управлению стоимостью цифровых активов</w:t>
      </w:r>
      <w:r w:rsidR="00FB0B01" w:rsidRPr="00662C2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662C24" w:rsidRPr="00662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цифровой среде</w:t>
      </w:r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255F0DAF" w14:textId="20D5A299" w:rsidR="00A17FF9" w:rsidRPr="00301887" w:rsidRDefault="00A17FF9" w:rsidP="00662C24">
      <w:pPr>
        <w:spacing w:line="240" w:lineRule="auto"/>
        <w:contextualSpacing/>
        <w:jc w:val="center"/>
        <w:rPr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 w:rsidR="00662C24">
        <w:rPr>
          <w:rFonts w:ascii="Times New Roman" w:hAnsi="Times New Roman" w:cs="Times New Roman"/>
          <w:sz w:val="28"/>
          <w:szCs w:val="28"/>
        </w:rPr>
        <w:t>ПНИР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  <w:r w:rsidR="00662C24">
        <w:rPr>
          <w:rFonts w:ascii="Times New Roman" w:hAnsi="Times New Roman" w:cs="Times New Roman"/>
          <w:sz w:val="28"/>
          <w:szCs w:val="28"/>
        </w:rPr>
        <w:t xml:space="preserve"> </w:t>
      </w: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CD6205" w:rsidRPr="00662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инструментария стоимостной оценки и управления цифровыми активами</w:t>
      </w:r>
      <w:r w:rsidRPr="00662C24">
        <w:rPr>
          <w:rFonts w:ascii="Times New Roman" w:hAnsi="Times New Roman" w:cs="Times New Roman"/>
          <w:sz w:val="28"/>
          <w:szCs w:val="28"/>
        </w:rPr>
        <w:t>»</w:t>
      </w:r>
      <w:r w:rsidRPr="00301887">
        <w:rPr>
          <w:rFonts w:ascii="Times New Roman" w:hAnsi="Times New Roman" w:cs="Times New Roman"/>
          <w:sz w:val="28"/>
          <w:szCs w:val="28"/>
        </w:rPr>
        <w:t xml:space="preserve"> </w:t>
      </w:r>
      <w:r w:rsidR="00662C24" w:rsidRPr="00662C24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2021 год</w:t>
      </w:r>
    </w:p>
    <w:p w14:paraId="264B157F" w14:textId="77777777" w:rsidR="00662C24" w:rsidRDefault="00662C24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9CAA65" w14:textId="153ED3AB" w:rsidR="00A17FF9" w:rsidRPr="00301887" w:rsidRDefault="00A17FF9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59754E">
        <w:rPr>
          <w:rFonts w:ascii="Times New Roman" w:hAnsi="Times New Roman" w:cs="Times New Roman"/>
          <w:sz w:val="28"/>
          <w:szCs w:val="28"/>
        </w:rPr>
        <w:t>ах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3F2239" w:rsidRPr="00662C24" w14:paraId="37E63FD1" w14:textId="77777777" w:rsidTr="009632A3">
        <w:tc>
          <w:tcPr>
            <w:tcW w:w="3256" w:type="dxa"/>
            <w:vAlign w:val="center"/>
          </w:tcPr>
          <w:p w14:paraId="3E3011E1" w14:textId="4E0215BD" w:rsidR="00662C24" w:rsidRPr="00662C24" w:rsidRDefault="003F2239" w:rsidP="0066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A5F36" wp14:editId="6C9D71C4">
                  <wp:extent cx="1210310" cy="1613747"/>
                  <wp:effectExtent l="0" t="0" r="889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628" cy="161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64CC9AB4" w14:textId="13595F8F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Марина Алексеевна</w:t>
            </w:r>
          </w:p>
          <w:p w14:paraId="14B5CCB9" w14:textId="77777777" w:rsidR="00991238" w:rsidRPr="00991238" w:rsidRDefault="00991238" w:rsidP="00991238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238">
              <w:rPr>
                <w:rFonts w:ascii="Times New Roman" w:hAnsi="Times New Roman" w:cs="Times New Roman"/>
                <w:sz w:val="28"/>
                <w:szCs w:val="28"/>
              </w:rPr>
              <w:t>заместитель научного</w:t>
            </w:r>
          </w:p>
          <w:p w14:paraId="6CE4113F" w14:textId="77777777" w:rsidR="00991238" w:rsidRDefault="00991238" w:rsidP="00991238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23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Финансового университета </w:t>
            </w:r>
          </w:p>
          <w:p w14:paraId="7AA09551" w14:textId="58F9A6B2" w:rsidR="00662C24" w:rsidRPr="00662C24" w:rsidRDefault="00991238" w:rsidP="00991238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62C24" w:rsidRPr="00662C24">
              <w:rPr>
                <w:rFonts w:ascii="Times New Roman" w:hAnsi="Times New Roman" w:cs="Times New Roman"/>
                <w:sz w:val="28"/>
                <w:szCs w:val="28"/>
              </w:rPr>
              <w:t>октор экономических наук, профессор</w:t>
            </w:r>
          </w:p>
          <w:p w14:paraId="7D8D4526" w14:textId="12C9161F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 xml:space="preserve">Адрес: </w:t>
            </w:r>
            <w:r w:rsidR="00156DC7" w:rsidRPr="00156DC7">
              <w:rPr>
                <w:rFonts w:ascii="Times New Roman" w:hAnsi="Times New Roman" w:cs="Times New Roman"/>
              </w:rPr>
              <w:t>125993, Москва, Ленинградский пр-т, д.5​</w:t>
            </w:r>
            <w:r w:rsidR="00156DC7">
              <w:rPr>
                <w:rFonts w:ascii="Times New Roman" w:hAnsi="Times New Roman" w:cs="Times New Roman"/>
              </w:rPr>
              <w:t>3, каб 7.7</w:t>
            </w:r>
          </w:p>
          <w:p w14:paraId="2FA2C568" w14:textId="1BCEA1DB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Тел.: +7 (</w:t>
            </w:r>
            <w:r w:rsidR="003F2239">
              <w:rPr>
                <w:rFonts w:ascii="Times New Roman" w:hAnsi="Times New Roman" w:cs="Times New Roman"/>
              </w:rPr>
              <w:t>495</w:t>
            </w:r>
            <w:r w:rsidRPr="00662C24">
              <w:rPr>
                <w:rFonts w:ascii="Times New Roman" w:hAnsi="Times New Roman" w:cs="Times New Roman"/>
              </w:rPr>
              <w:t xml:space="preserve">) </w:t>
            </w:r>
            <w:r w:rsidR="003F2239">
              <w:rPr>
                <w:rFonts w:ascii="Times New Roman" w:hAnsi="Times New Roman" w:cs="Times New Roman"/>
              </w:rPr>
              <w:t>249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3F2239">
              <w:rPr>
                <w:rFonts w:ascii="Times New Roman" w:hAnsi="Times New Roman" w:cs="Times New Roman"/>
              </w:rPr>
              <w:t>52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3F2239">
              <w:rPr>
                <w:rFonts w:ascii="Times New Roman" w:hAnsi="Times New Roman" w:cs="Times New Roman"/>
              </w:rPr>
              <w:t>24</w:t>
            </w:r>
          </w:p>
          <w:p w14:paraId="127BF157" w14:textId="0E41A57D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Эл. адрес:</w:t>
            </w:r>
            <w:r w:rsidRPr="00662C24">
              <w:t xml:space="preserve"> </w:t>
            </w:r>
            <w:r w:rsidR="00991238" w:rsidRPr="00991238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mfedotova</w:t>
            </w:r>
            <w:r w:rsidR="00991238" w:rsidRPr="003027C3">
              <w:rPr>
                <w:rFonts w:ascii="Times New Roman" w:hAnsi="Times New Roman" w:cs="Times New Roman"/>
                <w:color w:val="0563C1" w:themeColor="hyperlink"/>
                <w:u w:val="single"/>
              </w:rPr>
              <w:t>@</w:t>
            </w:r>
            <w:r w:rsidR="00991238" w:rsidRPr="00991238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fa</w:t>
            </w:r>
            <w:r w:rsidR="00991238" w:rsidRPr="003027C3">
              <w:rPr>
                <w:rFonts w:ascii="Times New Roman" w:hAnsi="Times New Roman" w:cs="Times New Roman"/>
                <w:color w:val="0563C1" w:themeColor="hyperlink"/>
                <w:u w:val="single"/>
              </w:rPr>
              <w:t>.</w:t>
            </w:r>
            <w:r w:rsidR="00991238" w:rsidRPr="00991238">
              <w:rPr>
                <w:rFonts w:ascii="Times New Roman" w:hAnsi="Times New Roman" w:cs="Times New Roman"/>
                <w:color w:val="0563C1" w:themeColor="hyperlink"/>
                <w:u w:val="single"/>
                <w:lang w:val="en-US"/>
              </w:rPr>
              <w:t>ru</w:t>
            </w:r>
          </w:p>
        </w:tc>
      </w:tr>
      <w:tr w:rsidR="003F2239" w:rsidRPr="00662C24" w14:paraId="70938BCC" w14:textId="77777777" w:rsidTr="009632A3">
        <w:trPr>
          <w:trHeight w:val="3240"/>
        </w:trPr>
        <w:tc>
          <w:tcPr>
            <w:tcW w:w="3256" w:type="dxa"/>
            <w:vAlign w:val="center"/>
          </w:tcPr>
          <w:p w14:paraId="172B0B05" w14:textId="1D83A5AB" w:rsidR="00662C24" w:rsidRPr="00662C24" w:rsidRDefault="003F2239" w:rsidP="00662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D5377" wp14:editId="19B5E6BA">
                  <wp:extent cx="1182278" cy="17354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879" cy="178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69528D57" w14:textId="77777777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52A3C" w14:textId="2FA3FCDD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МУНЕРМАН</w:t>
            </w:r>
            <w:r w:rsidRPr="0066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Илья Викторович</w:t>
            </w:r>
          </w:p>
          <w:p w14:paraId="2431FB4B" w14:textId="70AB81EB" w:rsidR="00662C24" w:rsidRPr="00662C24" w:rsidRDefault="00261493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оцент </w:t>
            </w:r>
            <w:r w:rsidR="00AC2A71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A71">
              <w:rPr>
                <w:rFonts w:ascii="Times New Roman" w:hAnsi="Times New Roman" w:cs="Times New Roman"/>
                <w:sz w:val="28"/>
                <w:szCs w:val="28"/>
              </w:rPr>
              <w:t>корпоративных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и </w:t>
            </w:r>
            <w:r w:rsidR="00AC2A71">
              <w:rPr>
                <w:rFonts w:ascii="Times New Roman" w:hAnsi="Times New Roman" w:cs="Times New Roman"/>
                <w:sz w:val="28"/>
                <w:szCs w:val="28"/>
              </w:rPr>
              <w:t>корпоративного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A7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A71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Финансового университета</w:t>
            </w:r>
          </w:p>
          <w:p w14:paraId="2C822844" w14:textId="3980F061" w:rsidR="00662C24" w:rsidRPr="00662C24" w:rsidRDefault="00D954B0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2C24" w:rsidRPr="00662C24">
              <w:rPr>
                <w:rFonts w:ascii="Times New Roman" w:hAnsi="Times New Roman" w:cs="Times New Roman"/>
                <w:sz w:val="28"/>
                <w:szCs w:val="28"/>
              </w:rPr>
              <w:t xml:space="preserve">андидат </w:t>
            </w:r>
            <w:r w:rsidR="003F2239">
              <w:rPr>
                <w:rFonts w:ascii="Times New Roman" w:hAnsi="Times New Roman" w:cs="Times New Roman"/>
                <w:sz w:val="28"/>
                <w:szCs w:val="28"/>
              </w:rPr>
              <w:t>экономических</w:t>
            </w:r>
            <w:r w:rsidR="00662C24" w:rsidRPr="00662C24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14:paraId="184F7F23" w14:textId="13323773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Адрес: 1</w:t>
            </w:r>
            <w:r w:rsidR="00261493">
              <w:rPr>
                <w:rFonts w:ascii="Times New Roman" w:hAnsi="Times New Roman" w:cs="Times New Roman"/>
              </w:rPr>
              <w:t>29164</w:t>
            </w:r>
            <w:r w:rsidRPr="00662C24">
              <w:rPr>
                <w:rFonts w:ascii="Times New Roman" w:hAnsi="Times New Roman" w:cs="Times New Roman"/>
              </w:rPr>
              <w:t>, Моск</w:t>
            </w:r>
            <w:r w:rsidR="00261493">
              <w:rPr>
                <w:rFonts w:ascii="Times New Roman" w:hAnsi="Times New Roman" w:cs="Times New Roman"/>
              </w:rPr>
              <w:t>в</w:t>
            </w:r>
            <w:r w:rsidRPr="00662C24">
              <w:rPr>
                <w:rFonts w:ascii="Times New Roman" w:hAnsi="Times New Roman" w:cs="Times New Roman"/>
              </w:rPr>
              <w:t>а</w:t>
            </w:r>
            <w:r w:rsidR="00261493">
              <w:rPr>
                <w:rFonts w:ascii="Times New Roman" w:hAnsi="Times New Roman" w:cs="Times New Roman"/>
              </w:rPr>
              <w:t>, улица Кибальчича, д.1. каб 801</w:t>
            </w:r>
            <w:r w:rsidRPr="00662C24">
              <w:rPr>
                <w:rFonts w:ascii="Times New Roman" w:hAnsi="Times New Roman" w:cs="Times New Roman"/>
              </w:rPr>
              <w:t xml:space="preserve"> </w:t>
            </w:r>
          </w:p>
          <w:p w14:paraId="3CCD31AA" w14:textId="580C9F5C" w:rsidR="00662C24" w:rsidRPr="00662C24" w:rsidRDefault="00662C24" w:rsidP="00662C24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 xml:space="preserve">Тел.: +7 (916) </w:t>
            </w:r>
            <w:r w:rsidR="00FB4008">
              <w:rPr>
                <w:rFonts w:ascii="Times New Roman" w:hAnsi="Times New Roman" w:cs="Times New Roman"/>
              </w:rPr>
              <w:t>6818020</w:t>
            </w:r>
          </w:p>
          <w:p w14:paraId="0F5C0BC0" w14:textId="41871196" w:rsidR="00662C24" w:rsidRDefault="00662C24" w:rsidP="00662C24">
            <w:pPr>
              <w:spacing w:after="120"/>
              <w:contextualSpacing/>
            </w:pPr>
            <w:r w:rsidRPr="00662C24"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="00306AAB" w:rsidRPr="000B2206">
                <w:rPr>
                  <w:rStyle w:val="af3"/>
                  <w:rFonts w:ascii="Times New Roman" w:hAnsi="Times New Roman" w:cs="Times New Roman"/>
                </w:rPr>
                <w:t>ivm@munerman.ru</w:t>
              </w:r>
            </w:hyperlink>
          </w:p>
          <w:p w14:paraId="26F71955" w14:textId="6A1A55D7" w:rsidR="00306AAB" w:rsidRPr="00662C24" w:rsidRDefault="00306AAB" w:rsidP="00662C2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239" w:rsidRPr="00662C24" w14:paraId="5A9EB2D1" w14:textId="77777777" w:rsidTr="009632A3">
        <w:trPr>
          <w:trHeight w:val="3240"/>
        </w:trPr>
        <w:tc>
          <w:tcPr>
            <w:tcW w:w="3256" w:type="dxa"/>
            <w:vAlign w:val="center"/>
          </w:tcPr>
          <w:p w14:paraId="50FFBB1A" w14:textId="67C0D68F" w:rsidR="003F2239" w:rsidRPr="00662C24" w:rsidRDefault="003F2239" w:rsidP="003F22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BE293" wp14:editId="03DD8678">
                  <wp:extent cx="1256648" cy="1884909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642" cy="190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</w:tcPr>
          <w:p w14:paraId="5FDE1FBE" w14:textId="77777777" w:rsidR="003F2239" w:rsidRPr="00662C24" w:rsidRDefault="003F2239" w:rsidP="003F223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49436" w14:textId="263A623C" w:rsidR="003F2239" w:rsidRPr="00662C24" w:rsidRDefault="003F2239" w:rsidP="003F223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СТЕПНОВ Игорь Михайлович</w:t>
            </w:r>
          </w:p>
          <w:p w14:paraId="41C5A3D0" w14:textId="3437472F" w:rsidR="00156DC7" w:rsidRDefault="00156DC7" w:rsidP="003F223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2614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фессор</w:t>
            </w:r>
            <w:r w:rsidRPr="00156DC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корпоративных финансов и корпоративного управления Факультета экономики и финансов Финансового университета</w:t>
            </w:r>
          </w:p>
          <w:p w14:paraId="47B2B30F" w14:textId="7408BC5B" w:rsidR="00D954B0" w:rsidRDefault="00D954B0" w:rsidP="003F223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4B0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14:paraId="5A478723" w14:textId="77777777" w:rsidR="00261493" w:rsidRPr="00662C24" w:rsidRDefault="003F2239" w:rsidP="00261493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 xml:space="preserve">Адрес: </w:t>
            </w:r>
            <w:r w:rsidR="00261493" w:rsidRPr="00662C24">
              <w:rPr>
                <w:rFonts w:ascii="Times New Roman" w:hAnsi="Times New Roman" w:cs="Times New Roman"/>
              </w:rPr>
              <w:t>1</w:t>
            </w:r>
            <w:r w:rsidR="00261493">
              <w:rPr>
                <w:rFonts w:ascii="Times New Roman" w:hAnsi="Times New Roman" w:cs="Times New Roman"/>
              </w:rPr>
              <w:t>29164</w:t>
            </w:r>
            <w:r w:rsidR="00261493" w:rsidRPr="00662C24">
              <w:rPr>
                <w:rFonts w:ascii="Times New Roman" w:hAnsi="Times New Roman" w:cs="Times New Roman"/>
              </w:rPr>
              <w:t>, Моск</w:t>
            </w:r>
            <w:r w:rsidR="00261493">
              <w:rPr>
                <w:rFonts w:ascii="Times New Roman" w:hAnsi="Times New Roman" w:cs="Times New Roman"/>
              </w:rPr>
              <w:t>в</w:t>
            </w:r>
            <w:r w:rsidR="00261493" w:rsidRPr="00662C24">
              <w:rPr>
                <w:rFonts w:ascii="Times New Roman" w:hAnsi="Times New Roman" w:cs="Times New Roman"/>
              </w:rPr>
              <w:t>а</w:t>
            </w:r>
            <w:r w:rsidR="00261493">
              <w:rPr>
                <w:rFonts w:ascii="Times New Roman" w:hAnsi="Times New Roman" w:cs="Times New Roman"/>
              </w:rPr>
              <w:t>, улица Кибальчича, д.1. каб 801</w:t>
            </w:r>
            <w:r w:rsidR="00261493" w:rsidRPr="00662C24">
              <w:rPr>
                <w:rFonts w:ascii="Times New Roman" w:hAnsi="Times New Roman" w:cs="Times New Roman"/>
              </w:rPr>
              <w:t xml:space="preserve"> </w:t>
            </w:r>
          </w:p>
          <w:p w14:paraId="4F1EF0E0" w14:textId="1624D51E" w:rsidR="003F2239" w:rsidRPr="00662C24" w:rsidRDefault="003F2239" w:rsidP="003F2239">
            <w:pPr>
              <w:spacing w:after="120"/>
              <w:contextualSpacing/>
              <w:rPr>
                <w:rFonts w:ascii="Times New Roman" w:hAnsi="Times New Roman" w:cs="Times New Roman"/>
              </w:rPr>
            </w:pPr>
            <w:r w:rsidRPr="00662C24">
              <w:rPr>
                <w:rFonts w:ascii="Times New Roman" w:hAnsi="Times New Roman" w:cs="Times New Roman"/>
              </w:rPr>
              <w:t>Тел.: +7 (91</w:t>
            </w:r>
            <w:r w:rsidR="00261493">
              <w:rPr>
                <w:rFonts w:ascii="Times New Roman" w:hAnsi="Times New Roman" w:cs="Times New Roman"/>
              </w:rPr>
              <w:t>0</w:t>
            </w:r>
            <w:r w:rsidRPr="00662C24">
              <w:rPr>
                <w:rFonts w:ascii="Times New Roman" w:hAnsi="Times New Roman" w:cs="Times New Roman"/>
              </w:rPr>
              <w:t xml:space="preserve">) </w:t>
            </w:r>
            <w:r w:rsidR="00261493">
              <w:rPr>
                <w:rFonts w:ascii="Times New Roman" w:hAnsi="Times New Roman" w:cs="Times New Roman"/>
              </w:rPr>
              <w:t>506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261493">
              <w:rPr>
                <w:rFonts w:ascii="Times New Roman" w:hAnsi="Times New Roman" w:cs="Times New Roman"/>
              </w:rPr>
              <w:t>41</w:t>
            </w:r>
            <w:r w:rsidRPr="00662C24">
              <w:rPr>
                <w:rFonts w:ascii="Times New Roman" w:hAnsi="Times New Roman" w:cs="Times New Roman"/>
              </w:rPr>
              <w:t>-</w:t>
            </w:r>
            <w:r w:rsidR="00261493">
              <w:rPr>
                <w:rFonts w:ascii="Times New Roman" w:hAnsi="Times New Roman" w:cs="Times New Roman"/>
              </w:rPr>
              <w:t>41</w:t>
            </w:r>
          </w:p>
          <w:p w14:paraId="7DB9C3EF" w14:textId="70A66F00" w:rsidR="003F2239" w:rsidRPr="00991238" w:rsidRDefault="003F2239" w:rsidP="003F2239">
            <w:pPr>
              <w:spacing w:after="120"/>
            </w:pPr>
            <w:r w:rsidRPr="00662C24">
              <w:rPr>
                <w:rFonts w:ascii="Times New Roman" w:hAnsi="Times New Roman" w:cs="Times New Roman"/>
              </w:rPr>
              <w:t>Эл. адрес:</w:t>
            </w:r>
            <w:r w:rsidRPr="00662C24">
              <w:t xml:space="preserve"> </w:t>
            </w:r>
            <w:hyperlink r:id="rId12" w:history="1">
              <w:r w:rsidR="00991238" w:rsidRPr="00D954B0">
                <w:rPr>
                  <w:rStyle w:val="af3"/>
                  <w:rFonts w:ascii="Times New Roman" w:hAnsi="Times New Roman" w:cs="Times New Roman"/>
                  <w:lang w:val="en-US"/>
                </w:rPr>
                <w:t>imstepnov</w:t>
              </w:r>
              <w:r w:rsidR="00991238" w:rsidRPr="00662C24">
                <w:rPr>
                  <w:rStyle w:val="af3"/>
                  <w:rFonts w:ascii="Times New Roman" w:hAnsi="Times New Roman" w:cs="Times New Roman"/>
                </w:rPr>
                <w:t>@fa.ru</w:t>
              </w:r>
            </w:hyperlink>
            <w:r w:rsidRPr="00662C2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E3B2393" w14:textId="77777777"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A351C" w14:textId="77777777"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72F38" w14:textId="77777777"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7C94A" w14:textId="77777777"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22C69" w14:textId="77777777" w:rsidR="00662C24" w:rsidRDefault="00662C24" w:rsidP="00CD62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6334E7" w14:textId="18C817E9" w:rsidR="00D603A9" w:rsidRPr="00EE0592" w:rsidRDefault="00EE0592" w:rsidP="00EE0592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результата интеллектуальной деятельности</w:t>
      </w:r>
    </w:p>
    <w:p w14:paraId="31549002" w14:textId="77777777" w:rsidR="000D17C3" w:rsidRDefault="000D17C3" w:rsidP="000D17C3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96CEC52" w14:textId="0D0C3E74" w:rsidR="00EE0592" w:rsidRPr="001D000B" w:rsidRDefault="00EE0592" w:rsidP="005123A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 технологии: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 (коммерческая тайна) «</w:t>
      </w:r>
      <w:r w:rsidR="005123A8" w:rsidRPr="0051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комплексному управлению стоимостью цифровых активов в цифровой среде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A8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носят характер комплексного алгоритма и </w:t>
      </w:r>
      <w:r w:rsidR="0051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набор последовательных действий, предпринимаемых с целью эффективного стоимостно-ориентированного управления цифровыми активами: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идентификации цифровых активов; по выбору факторов, влияющих на стоимость;</w:t>
      </w:r>
      <w:r w:rsidR="0051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инструментария по предложенным критериям (управление данными, производительность, стабильность, объясняемость); по обоснованию набора алгоритмов машинного обучения стоимостно-ориентированного управления цифровыми активами как комплекса задач, включающий в себя поиск выбросов данных, определение характера пропущенных данных, импутация данных, собственно задачи оценки и прогнозирования стоимости, интерпретацию нелинейных моделей и оценку стабильности</w:t>
      </w:r>
      <w:r w:rsidR="0051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 формированию смарт контрактов в децентрализованных финансовых сервисах с целью реализации стоимостно-ориентированного управления.</w:t>
      </w:r>
    </w:p>
    <w:p w14:paraId="12B2F9DB" w14:textId="112D874F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(научно-технический) задел: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законченные исследования автор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проведенны</w:t>
      </w:r>
      <w:r w:rsidR="0030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гос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ударственных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Финансового университета на 2020 и 2021 гг.</w:t>
      </w:r>
    </w:p>
    <w:p w14:paraId="772807E5" w14:textId="74157863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РИД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по комплексному управлению стоимостью цифровых активов в цифровой среде»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к использованию в качестве технологии.</w:t>
      </w:r>
    </w:p>
    <w:p w14:paraId="55C3C504" w14:textId="05D65118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определяется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классических подходов к оценке и управлению стоимостью с возможностями цифровой среды (машинное обучение, децентрализованные финансовые сервисы). При этом речь может идти о различных видах 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цифровых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активов, а унификация управления достигается за счет создания </w:t>
      </w:r>
      <w:r w:rsidR="00A87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производного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инструмента на такой актив на основе смарт контракта в виде смарт опциона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26A08C9" w14:textId="10A23EA8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преимущества.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позволит</w:t>
      </w:r>
      <w:r w:rsid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необходимую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7C3" w:rsidRPr="000D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используемых методов и моделей в зависимости от вида актива и реализация управления в цифровой среде</w:t>
      </w:r>
    </w:p>
    <w:p w14:paraId="48DFFB28" w14:textId="5F53179D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Экономические преимущества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Экономические преимущества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в сокращении потерь при неэффективном управлении цифровыми активами, их неверной идентификации или отказе от комплексного подхода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53B31C33" w14:textId="11205138" w:rsidR="00EE0592" w:rsidRPr="001D000B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может применяться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инвесторов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юридических лиц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владельцев цифровых активов, разработчиков сервисов для целей увеличения стоимости таких активов (портфеля таких активов или единичного актива), находящихся под управлением конкретного владельца. Также рекомендации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</w:t>
      </w:r>
      <w:r w:rsidRPr="00EE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органам власти, что позволит принимать обоснованные управленческие решения по регуляторному воздействию на рынок цифровых активов.</w:t>
      </w:r>
    </w:p>
    <w:p w14:paraId="194DB53C" w14:textId="24162301" w:rsidR="00EE0592" w:rsidRDefault="00EE0592" w:rsidP="00EE05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эффекты.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влияние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 и развитие рынка цифровых активов, включая эффективность регуляторного воздействия</w:t>
      </w:r>
      <w:r w:rsidRPr="001D0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64F00B" w14:textId="77777777" w:rsidR="00FB0B01" w:rsidRDefault="00FB0B01" w:rsidP="00FB0B01">
      <w:pPr>
        <w:rPr>
          <w:rFonts w:ascii="Times New Roman" w:hAnsi="Times New Roman" w:cs="Times New Roman"/>
          <w:b/>
          <w:sz w:val="28"/>
          <w:szCs w:val="28"/>
        </w:rPr>
      </w:pPr>
    </w:p>
    <w:p w14:paraId="0E59D800" w14:textId="77777777" w:rsidR="00FB0B01" w:rsidRDefault="00FB0B01" w:rsidP="00FB0B01">
      <w:pPr>
        <w:rPr>
          <w:rFonts w:ascii="Times New Roman" w:hAnsi="Times New Roman" w:cs="Times New Roman"/>
          <w:b/>
          <w:sz w:val="28"/>
          <w:szCs w:val="28"/>
        </w:rPr>
      </w:pPr>
    </w:p>
    <w:p w14:paraId="27C0312C" w14:textId="77777777" w:rsidR="00FB0B01" w:rsidRDefault="00FB0B01" w:rsidP="00FB0B01">
      <w:pPr>
        <w:rPr>
          <w:rFonts w:ascii="Times New Roman" w:hAnsi="Times New Roman" w:cs="Times New Roman"/>
          <w:b/>
          <w:sz w:val="28"/>
          <w:szCs w:val="28"/>
        </w:rPr>
      </w:pPr>
    </w:p>
    <w:p w14:paraId="56C1FED9" w14:textId="77777777" w:rsidR="00FB0B01" w:rsidRDefault="00FB0B01" w:rsidP="00FB0B0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2CC37F" w14:textId="77777777" w:rsidR="00FB0B01" w:rsidRDefault="00FB0B01" w:rsidP="00FB0B0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58B06A" w14:textId="77777777" w:rsidR="00FB0B01" w:rsidRDefault="00FB0B01" w:rsidP="00FB0B0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C8B2C" w14:textId="77777777" w:rsidR="00FB0B01" w:rsidRDefault="00FB0B01" w:rsidP="00FB0B0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B70802" w14:textId="77777777" w:rsidR="00FB0B01" w:rsidRDefault="00FB0B01" w:rsidP="00FB0B0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B0B01" w:rsidSect="005306E0">
      <w:pgSz w:w="11906" w:h="16838" w:code="9"/>
      <w:pgMar w:top="99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994B" w14:textId="77777777" w:rsidR="00432226" w:rsidRDefault="00432226" w:rsidP="003D3985">
      <w:pPr>
        <w:spacing w:after="0" w:line="240" w:lineRule="auto"/>
      </w:pPr>
      <w:r>
        <w:separator/>
      </w:r>
    </w:p>
  </w:endnote>
  <w:endnote w:type="continuationSeparator" w:id="0">
    <w:p w14:paraId="03E06F75" w14:textId="77777777" w:rsidR="00432226" w:rsidRDefault="00432226" w:rsidP="003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14B9D" w14:textId="77777777" w:rsidR="00432226" w:rsidRDefault="00432226" w:rsidP="003D3985">
      <w:pPr>
        <w:spacing w:after="0" w:line="240" w:lineRule="auto"/>
      </w:pPr>
      <w:r>
        <w:separator/>
      </w:r>
    </w:p>
  </w:footnote>
  <w:footnote w:type="continuationSeparator" w:id="0">
    <w:p w14:paraId="2D87E5BC" w14:textId="77777777" w:rsidR="00432226" w:rsidRDefault="00432226" w:rsidP="003D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982"/>
    <w:multiLevelType w:val="hybridMultilevel"/>
    <w:tmpl w:val="CBCAC1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53E3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8BA4273"/>
    <w:multiLevelType w:val="hybridMultilevel"/>
    <w:tmpl w:val="932A4688"/>
    <w:lvl w:ilvl="0" w:tplc="7588703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9866C6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33C3"/>
    <w:multiLevelType w:val="multilevel"/>
    <w:tmpl w:val="BC5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8D1A17"/>
    <w:multiLevelType w:val="multilevel"/>
    <w:tmpl w:val="4864B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75CD3"/>
    <w:multiLevelType w:val="hybridMultilevel"/>
    <w:tmpl w:val="54245DEC"/>
    <w:lvl w:ilvl="0" w:tplc="38D21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5425F"/>
    <w:multiLevelType w:val="hybridMultilevel"/>
    <w:tmpl w:val="6266405C"/>
    <w:lvl w:ilvl="0" w:tplc="17A8E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C"/>
    <w:rsid w:val="00067E3E"/>
    <w:rsid w:val="00091ACA"/>
    <w:rsid w:val="000A24D9"/>
    <w:rsid w:val="000B2206"/>
    <w:rsid w:val="000D17C3"/>
    <w:rsid w:val="00156DC7"/>
    <w:rsid w:val="00163599"/>
    <w:rsid w:val="00193676"/>
    <w:rsid w:val="001B4F3F"/>
    <w:rsid w:val="001B5F16"/>
    <w:rsid w:val="00211E62"/>
    <w:rsid w:val="00246ABC"/>
    <w:rsid w:val="0025261E"/>
    <w:rsid w:val="00261493"/>
    <w:rsid w:val="002A7E9C"/>
    <w:rsid w:val="002C3386"/>
    <w:rsid w:val="002C5745"/>
    <w:rsid w:val="003027C3"/>
    <w:rsid w:val="00306AAB"/>
    <w:rsid w:val="00320633"/>
    <w:rsid w:val="003466F4"/>
    <w:rsid w:val="00380DEE"/>
    <w:rsid w:val="00394523"/>
    <w:rsid w:val="003B359D"/>
    <w:rsid w:val="003C1B9F"/>
    <w:rsid w:val="003D3985"/>
    <w:rsid w:val="003F2239"/>
    <w:rsid w:val="003F35AC"/>
    <w:rsid w:val="004169C8"/>
    <w:rsid w:val="00432226"/>
    <w:rsid w:val="00451F52"/>
    <w:rsid w:val="00473E02"/>
    <w:rsid w:val="004851B1"/>
    <w:rsid w:val="00485B2B"/>
    <w:rsid w:val="004B2EF8"/>
    <w:rsid w:val="004B6309"/>
    <w:rsid w:val="00503C5F"/>
    <w:rsid w:val="00505CDC"/>
    <w:rsid w:val="0050641F"/>
    <w:rsid w:val="005123A8"/>
    <w:rsid w:val="005306E0"/>
    <w:rsid w:val="00533CE9"/>
    <w:rsid w:val="005960AA"/>
    <w:rsid w:val="0059754E"/>
    <w:rsid w:val="005D57D0"/>
    <w:rsid w:val="005E1776"/>
    <w:rsid w:val="00613F31"/>
    <w:rsid w:val="006255FF"/>
    <w:rsid w:val="006432FF"/>
    <w:rsid w:val="00662C24"/>
    <w:rsid w:val="006C34FF"/>
    <w:rsid w:val="006D0E54"/>
    <w:rsid w:val="006D4681"/>
    <w:rsid w:val="006E7D51"/>
    <w:rsid w:val="0070697E"/>
    <w:rsid w:val="00720134"/>
    <w:rsid w:val="00746E68"/>
    <w:rsid w:val="00754E87"/>
    <w:rsid w:val="00760EA9"/>
    <w:rsid w:val="0076559C"/>
    <w:rsid w:val="00777B34"/>
    <w:rsid w:val="007B2AAA"/>
    <w:rsid w:val="007E6A54"/>
    <w:rsid w:val="00832D29"/>
    <w:rsid w:val="00857909"/>
    <w:rsid w:val="00883826"/>
    <w:rsid w:val="008A1690"/>
    <w:rsid w:val="008A557E"/>
    <w:rsid w:val="008F7615"/>
    <w:rsid w:val="00965A55"/>
    <w:rsid w:val="00991238"/>
    <w:rsid w:val="00995A6B"/>
    <w:rsid w:val="009A7E39"/>
    <w:rsid w:val="009F354E"/>
    <w:rsid w:val="009F524E"/>
    <w:rsid w:val="00A02F4B"/>
    <w:rsid w:val="00A17FF9"/>
    <w:rsid w:val="00A35F65"/>
    <w:rsid w:val="00A66357"/>
    <w:rsid w:val="00A872F0"/>
    <w:rsid w:val="00A919B6"/>
    <w:rsid w:val="00AB69E9"/>
    <w:rsid w:val="00AC2A71"/>
    <w:rsid w:val="00AD2EC0"/>
    <w:rsid w:val="00B4127A"/>
    <w:rsid w:val="00B52D2C"/>
    <w:rsid w:val="00B81498"/>
    <w:rsid w:val="00B956E2"/>
    <w:rsid w:val="00BB5C9E"/>
    <w:rsid w:val="00BE15B0"/>
    <w:rsid w:val="00BF2BC7"/>
    <w:rsid w:val="00C014A5"/>
    <w:rsid w:val="00C329D5"/>
    <w:rsid w:val="00C46F0F"/>
    <w:rsid w:val="00C667E5"/>
    <w:rsid w:val="00C725F8"/>
    <w:rsid w:val="00CA298E"/>
    <w:rsid w:val="00CB1970"/>
    <w:rsid w:val="00CC7779"/>
    <w:rsid w:val="00CD6205"/>
    <w:rsid w:val="00D04E21"/>
    <w:rsid w:val="00D0701C"/>
    <w:rsid w:val="00D20F19"/>
    <w:rsid w:val="00D603A9"/>
    <w:rsid w:val="00D8680C"/>
    <w:rsid w:val="00D954B0"/>
    <w:rsid w:val="00DE7BE7"/>
    <w:rsid w:val="00DF38A2"/>
    <w:rsid w:val="00DF3C7B"/>
    <w:rsid w:val="00E151E9"/>
    <w:rsid w:val="00E36519"/>
    <w:rsid w:val="00E46F3D"/>
    <w:rsid w:val="00E56120"/>
    <w:rsid w:val="00E90DFD"/>
    <w:rsid w:val="00E92D29"/>
    <w:rsid w:val="00EB05F8"/>
    <w:rsid w:val="00EC05B7"/>
    <w:rsid w:val="00EE0592"/>
    <w:rsid w:val="00EF020F"/>
    <w:rsid w:val="00F26CBD"/>
    <w:rsid w:val="00F50E35"/>
    <w:rsid w:val="00F635C2"/>
    <w:rsid w:val="00F8637D"/>
    <w:rsid w:val="00FA2003"/>
    <w:rsid w:val="00FA7380"/>
    <w:rsid w:val="00FB0B01"/>
    <w:rsid w:val="00FB4008"/>
    <w:rsid w:val="00FC4587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169"/>
  <w15:chartTrackingRefBased/>
  <w15:docId w15:val="{8346E9E8-8C25-4A1D-AC96-C59B0E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9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9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3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39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3D398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D398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3D3985"/>
    <w:rPr>
      <w:rFonts w:ascii="Calibri" w:eastAsia="Times New Roman" w:hAnsi="Calibri" w:cs="Calibri"/>
      <w:lang w:val="en-US"/>
    </w:rPr>
  </w:style>
  <w:style w:type="paragraph" w:customStyle="1" w:styleId="a7">
    <w:name w:val="Центрированный"/>
    <w:rsid w:val="003D3985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85"/>
  </w:style>
  <w:style w:type="paragraph" w:styleId="aa">
    <w:name w:val="footer"/>
    <w:basedOn w:val="a"/>
    <w:link w:val="ab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85"/>
  </w:style>
  <w:style w:type="paragraph" w:styleId="ac">
    <w:name w:val="Balloon Text"/>
    <w:basedOn w:val="a"/>
    <w:link w:val="ad"/>
    <w:uiPriority w:val="99"/>
    <w:semiHidden/>
    <w:unhideWhenUsed/>
    <w:rsid w:val="00B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127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246AB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6AB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246ABC"/>
    <w:rPr>
      <w:vertAlign w:val="superscript"/>
    </w:rPr>
  </w:style>
  <w:style w:type="paragraph" w:customStyle="1" w:styleId="2">
    <w:name w:val="Абзац списка2"/>
    <w:basedOn w:val="a"/>
    <w:rsid w:val="00A17FF9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f2">
    <w:name w:val="Emphasis"/>
    <w:basedOn w:val="a0"/>
    <w:uiPriority w:val="20"/>
    <w:qFormat/>
    <w:rsid w:val="00A17FF9"/>
    <w:rPr>
      <w:i/>
      <w:iCs/>
    </w:rPr>
  </w:style>
  <w:style w:type="character" w:styleId="af3">
    <w:name w:val="Hyperlink"/>
    <w:basedOn w:val="a0"/>
    <w:rsid w:val="00DE7BE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E7B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basedOn w:val="a0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13"/>
    <w:rsid w:val="00DE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Подпись к таблице"/>
    <w:basedOn w:val="af4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DE7BE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f5"/>
    <w:rsid w:val="00DE7B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9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mstepnov@fa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vm@munerm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D0171-1DD0-4742-A028-146A22316AE2}"/>
</file>

<file path=customXml/itemProps2.xml><?xml version="1.0" encoding="utf-8"?>
<ds:datastoreItem xmlns:ds="http://schemas.openxmlformats.org/officeDocument/2006/customXml" ds:itemID="{205C28A0-083F-4002-983C-CFAFA8F970C7}"/>
</file>

<file path=customXml/itemProps3.xml><?xml version="1.0" encoding="utf-8"?>
<ds:datastoreItem xmlns:ds="http://schemas.openxmlformats.org/officeDocument/2006/customXml" ds:itemID="{95266496-9997-45D6-985B-C62CC190B9B1}"/>
</file>

<file path=customXml/itemProps4.xml><?xml version="1.0" encoding="utf-8"?>
<ds:datastoreItem xmlns:ds="http://schemas.openxmlformats.org/officeDocument/2006/customXml" ds:itemID="{A211B0B7-8B53-49F6-9763-EEF6F050F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рекомендации по комплексному управлению стоимостью цифровых активов в цифровой среде (рекламно-техническое описание)</dc:title>
  <dc:subject/>
  <dc:creator>Белова Анастасия Игоревна</dc:creator>
  <cp:keywords/>
  <dc:description/>
  <cp:lastModifiedBy>Белгородцев Виктор Петрович</cp:lastModifiedBy>
  <cp:revision>2</cp:revision>
  <cp:lastPrinted>2018-12-13T13:53:00Z</cp:lastPrinted>
  <dcterms:created xsi:type="dcterms:W3CDTF">2021-10-14T13:04:00Z</dcterms:created>
  <dcterms:modified xsi:type="dcterms:W3CDTF">2021-10-14T13:04:00Z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