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63" w:rsidRDefault="009B2C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Рекламно-техническое описание результата интеллектуальной деятельности</w:t>
      </w:r>
    </w:p>
    <w:p w:rsidR="00310C63" w:rsidRDefault="009B2CD5" w:rsidP="004A446D">
      <w:pPr>
        <w:pBdr>
          <w:top w:val="nil"/>
          <w:left w:val="nil"/>
          <w:bottom w:val="nil"/>
          <w:right w:val="nil"/>
          <w:between w:val="nil"/>
        </w:pBdr>
        <w:ind w:right="-144"/>
        <w:jc w:val="center"/>
        <w:rPr>
          <w:color w:val="000000"/>
          <w:sz w:val="27"/>
          <w:szCs w:val="27"/>
        </w:rPr>
      </w:pPr>
      <w:bookmarkStart w:id="0" w:name="_heading=h.30j0zll" w:colFirst="0" w:colLast="0"/>
      <w:bookmarkEnd w:id="0"/>
      <w:r>
        <w:rPr>
          <w:color w:val="000000"/>
          <w:sz w:val="27"/>
          <w:szCs w:val="27"/>
        </w:rPr>
        <w:t xml:space="preserve">Результат интеллектуальной деятельности в виде </w:t>
      </w:r>
      <w:r w:rsidR="004A446D">
        <w:rPr>
          <w:color w:val="000000"/>
          <w:sz w:val="27"/>
          <w:szCs w:val="27"/>
        </w:rPr>
        <w:t>секрета производства (ноу-хау) «</w:t>
      </w:r>
      <w:r w:rsidR="004A44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ехнологи</w:t>
      </w:r>
      <w:r w:rsidR="004A446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разработки алгоритма</w:t>
      </w:r>
      <w:r>
        <w:rPr>
          <w:color w:val="000000"/>
          <w:sz w:val="27"/>
          <w:szCs w:val="27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рисков и обеспеченности капиталом банков и банковских групп на основе различных </w:t>
      </w:r>
      <w:r>
        <w:rPr>
          <w:b/>
          <w:sz w:val="28"/>
          <w:szCs w:val="28"/>
        </w:rPr>
        <w:t>форм</w:t>
      </w:r>
      <w:r>
        <w:rPr>
          <w:b/>
          <w:color w:val="000000"/>
          <w:sz w:val="28"/>
          <w:szCs w:val="28"/>
        </w:rPr>
        <w:t>атов официальной отчетности (РСПБУ и МСФО), агрегирующих первичные данные</w:t>
      </w:r>
      <w:r>
        <w:rPr>
          <w:color w:val="000000"/>
          <w:sz w:val="27"/>
          <w:szCs w:val="27"/>
        </w:rPr>
        <w:t xml:space="preserve">», разработан в рамках НИР ВТК-ГЗ-ПИ-48-21 «Организация системы управления рисками и капиталом в кредитных организациях и банковских </w:t>
      </w:r>
      <w:proofErr w:type="gramStart"/>
      <w:r>
        <w:rPr>
          <w:color w:val="000000"/>
          <w:sz w:val="27"/>
          <w:szCs w:val="27"/>
        </w:rPr>
        <w:t>группах»  по</w:t>
      </w:r>
      <w:proofErr w:type="gramEnd"/>
      <w:r>
        <w:rPr>
          <w:color w:val="000000"/>
          <w:sz w:val="27"/>
          <w:szCs w:val="27"/>
        </w:rPr>
        <w:t xml:space="preserve"> государственному заданию Финансовому университету на 2021 год</w:t>
      </w:r>
    </w:p>
    <w:tbl>
      <w:tblPr>
        <w:tblStyle w:val="aff0"/>
        <w:tblW w:w="102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6690"/>
      </w:tblGrid>
      <w:tr w:rsidR="00310C63">
        <w:tc>
          <w:tcPr>
            <w:tcW w:w="3525" w:type="dxa"/>
          </w:tcPr>
          <w:p w:rsidR="00310C63" w:rsidRDefault="009B2CD5">
            <w:pPr>
              <w:ind w:right="68"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114300" distB="114300" distL="114300" distR="114300">
                  <wp:extent cx="2105025" cy="28067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:rsidR="00310C63" w:rsidRDefault="009B2CD5">
            <w:pPr>
              <w:spacing w:after="120"/>
              <w:ind w:left="2199" w:right="68" w:firstLine="50"/>
            </w:pPr>
            <w:r>
              <w:t xml:space="preserve">ЗУБКОВА Светлана Валерьевна </w:t>
            </w:r>
          </w:p>
          <w:p w:rsidR="00310C63" w:rsidRDefault="009B2CD5">
            <w:pPr>
              <w:spacing w:after="120"/>
              <w:ind w:left="2199" w:right="68" w:firstLine="50"/>
            </w:pPr>
            <w:r>
              <w:t>Доцент Департамента банковского дела и финансовых рынков Финансового факультета</w:t>
            </w:r>
          </w:p>
          <w:p w:rsidR="00310C63" w:rsidRDefault="009B2CD5">
            <w:pPr>
              <w:spacing w:after="120"/>
              <w:ind w:left="2199" w:right="68" w:firstLine="50"/>
            </w:pPr>
            <w:r>
              <w:t>К.э.н., доцент</w:t>
            </w:r>
          </w:p>
          <w:p w:rsidR="00310C63" w:rsidRDefault="009B2CD5">
            <w:pPr>
              <w:spacing w:after="120"/>
              <w:ind w:right="68" w:firstLine="2250"/>
            </w:pPr>
            <w:r>
              <w:t xml:space="preserve">121433, Москва, ул. Звенигородская, д.8, к.2, кв. 10            </w:t>
            </w:r>
          </w:p>
          <w:p w:rsidR="00310C63" w:rsidRDefault="009B2CD5">
            <w:pPr>
              <w:spacing w:after="120"/>
              <w:ind w:right="68" w:firstLine="2250"/>
            </w:pPr>
            <w:r>
              <w:t>Тел.: +7 906 750-68-73</w:t>
            </w:r>
          </w:p>
          <w:p w:rsidR="00310C63" w:rsidRDefault="009B2CD5">
            <w:pPr>
              <w:ind w:right="68" w:firstLine="2250"/>
              <w:jc w:val="both"/>
            </w:pPr>
            <w:r>
              <w:t xml:space="preserve">Эл. адрес: </w:t>
            </w:r>
            <w:hyperlink r:id="rId9">
              <w:r>
                <w:rPr>
                  <w:color w:val="0563C1"/>
                  <w:u w:val="single"/>
                </w:rPr>
                <w:t>svzubkova@fa.ru</w:t>
              </w:r>
            </w:hyperlink>
            <w:r>
              <w:t xml:space="preserve">  </w:t>
            </w:r>
          </w:p>
        </w:tc>
      </w:tr>
      <w:tr w:rsidR="00310C63">
        <w:tc>
          <w:tcPr>
            <w:tcW w:w="3525" w:type="dxa"/>
          </w:tcPr>
          <w:p w:rsidR="00310C63" w:rsidRDefault="009B2CD5">
            <w:pPr>
              <w:ind w:right="68"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114300" distB="114300" distL="114300" distR="114300">
                  <wp:extent cx="2105025" cy="28067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:rsidR="00310C63" w:rsidRDefault="009B2CD5">
            <w:pPr>
              <w:spacing w:after="120"/>
              <w:ind w:left="2199" w:right="68" w:firstLine="50"/>
            </w:pPr>
            <w:r>
              <w:t xml:space="preserve">МЕШКОВА Елена Ивановна </w:t>
            </w:r>
          </w:p>
          <w:p w:rsidR="00310C63" w:rsidRDefault="009B2CD5">
            <w:pPr>
              <w:spacing w:after="120"/>
              <w:ind w:left="2199" w:right="68" w:firstLine="50"/>
            </w:pPr>
            <w:r>
              <w:t>Доцент Департамента банковского дела и финансовых рынков Финансового факультета</w:t>
            </w:r>
          </w:p>
          <w:p w:rsidR="00310C63" w:rsidRDefault="009B2CD5">
            <w:pPr>
              <w:spacing w:after="120"/>
              <w:ind w:left="2199" w:right="68" w:firstLine="50"/>
            </w:pPr>
            <w:r>
              <w:t>К.э.н., доцент</w:t>
            </w:r>
          </w:p>
          <w:p w:rsidR="00310C63" w:rsidRDefault="009B2CD5">
            <w:pPr>
              <w:spacing w:after="120"/>
              <w:ind w:right="68" w:firstLine="2250"/>
            </w:pPr>
            <w:r>
              <w:t xml:space="preserve">129344, Москва, ул. Летчика Бабушкина, дом 18, корп.2, кв.6            </w:t>
            </w:r>
          </w:p>
          <w:p w:rsidR="00310C63" w:rsidRDefault="009B2CD5">
            <w:pPr>
              <w:spacing w:after="120"/>
              <w:ind w:right="68" w:firstLine="2250"/>
            </w:pPr>
            <w:r>
              <w:t>Тел.: +7 916 660-59-78</w:t>
            </w:r>
          </w:p>
          <w:p w:rsidR="00310C63" w:rsidRDefault="009B2CD5">
            <w:pPr>
              <w:spacing w:after="120"/>
              <w:ind w:left="2199" w:right="68" w:firstLine="50"/>
            </w:pPr>
            <w:r>
              <w:t xml:space="preserve">Эл. адрес: </w:t>
            </w:r>
            <w:hyperlink r:id="rId11">
              <w:r>
                <w:rPr>
                  <w:color w:val="0563C1"/>
                  <w:u w:val="single"/>
                </w:rPr>
                <w:t>elmeshkova@fa.ru</w:t>
              </w:r>
            </w:hyperlink>
          </w:p>
        </w:tc>
      </w:tr>
    </w:tbl>
    <w:p w:rsidR="00310C63" w:rsidRDefault="00310C63">
      <w:pPr>
        <w:spacing w:line="420" w:lineRule="auto"/>
        <w:jc w:val="center"/>
        <w:rPr>
          <w:b/>
          <w:sz w:val="28"/>
          <w:szCs w:val="28"/>
        </w:rPr>
      </w:pPr>
    </w:p>
    <w:p w:rsidR="004A446D" w:rsidRDefault="004A446D">
      <w:pPr>
        <w:spacing w:line="420" w:lineRule="auto"/>
        <w:jc w:val="center"/>
        <w:rPr>
          <w:b/>
          <w:sz w:val="28"/>
          <w:szCs w:val="28"/>
        </w:rPr>
      </w:pPr>
    </w:p>
    <w:p w:rsidR="004A446D" w:rsidRDefault="004A446D">
      <w:pPr>
        <w:spacing w:line="420" w:lineRule="auto"/>
        <w:jc w:val="center"/>
        <w:rPr>
          <w:b/>
          <w:sz w:val="28"/>
          <w:szCs w:val="28"/>
        </w:rPr>
      </w:pPr>
    </w:p>
    <w:p w:rsidR="004A446D" w:rsidRDefault="004A446D">
      <w:pPr>
        <w:spacing w:line="420" w:lineRule="auto"/>
        <w:jc w:val="center"/>
        <w:rPr>
          <w:b/>
          <w:sz w:val="28"/>
          <w:szCs w:val="28"/>
        </w:rPr>
      </w:pPr>
    </w:p>
    <w:p w:rsidR="004A446D" w:rsidRDefault="004A446D">
      <w:pPr>
        <w:spacing w:line="420" w:lineRule="auto"/>
        <w:jc w:val="center"/>
        <w:rPr>
          <w:b/>
          <w:sz w:val="28"/>
          <w:szCs w:val="28"/>
        </w:rPr>
      </w:pPr>
    </w:p>
    <w:p w:rsidR="00310C63" w:rsidRDefault="009B2CD5">
      <w:pPr>
        <w:spacing w:line="4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результата интеллектуальной деятельности</w:t>
      </w:r>
    </w:p>
    <w:p w:rsidR="00310C63" w:rsidRDefault="009B2CD5">
      <w:pPr>
        <w:spacing w:line="360" w:lineRule="auto"/>
        <w:ind w:firstLine="855"/>
        <w:jc w:val="both"/>
        <w:rPr>
          <w:sz w:val="28"/>
          <w:szCs w:val="28"/>
        </w:rPr>
      </w:pPr>
      <w:bookmarkStart w:id="1" w:name="_GoBack"/>
      <w:bookmarkEnd w:id="1"/>
      <w:r>
        <w:rPr>
          <w:b/>
          <w:i/>
          <w:sz w:val="28"/>
          <w:szCs w:val="28"/>
        </w:rPr>
        <w:t xml:space="preserve">Исчерпывающая информация о технологии. </w:t>
      </w:r>
      <w:r>
        <w:rPr>
          <w:sz w:val="28"/>
          <w:szCs w:val="28"/>
        </w:rPr>
        <w:t>Представленная технология разработки алгоритма оценки рисков решает проблему агрегирования бухгалтерских данных, которая создает условия для возможного манипулирования отчетностью в целях представления более привлекательных для участников рынка результатов деятельности, в том числе в области организации и управления рисками и капиталом. Особенно эта проблема актуальна для интеграционных образований, в частности, банковских групп, в состав участников которых входят наряду с финансовыми, нефинансовые компании.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Степень готовности к разработке инновационного проекта</w:t>
      </w:r>
      <w:r>
        <w:rPr>
          <w:sz w:val="28"/>
          <w:szCs w:val="28"/>
        </w:rPr>
        <w:t>. Технология разработки алгоритма оценки рисков и обеспеченности капиталом банков и банковских групп на основе различных форматов официальной отчетности (РСПБУ и МСФО), агрегирующих первичные данные имеет законченный вид и готова к использованию в кредитных организациях.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Новизна технологии, отличие от аналогов</w:t>
      </w:r>
      <w:r>
        <w:rPr>
          <w:sz w:val="28"/>
          <w:szCs w:val="28"/>
        </w:rPr>
        <w:t>. Новизна технологии заключается в том, что представленная технология разработки алгоритма оценки рисков и обеспеченности капиталов имеет уникальную специфику, которая заключается в идентификации и предотвращении риска вынужденной финансовой поддержки участников банковской группы. Разработан алгоритм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расчета основных показателей, отражающих уровень принятых банком рисков и достаточности капитала на соло и групповой основе. Разработанные рекомендации по расчету показателей отражают объем создаваемых резервов под различные виды рисков и их уровень, с учетом консолидации передового российского и зарубежного опыта, что позволяет достигать большей информационной открытости внешним пользователям. 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Технологические преимущества.</w:t>
      </w:r>
      <w:r>
        <w:rPr>
          <w:sz w:val="28"/>
          <w:szCs w:val="28"/>
        </w:rPr>
        <w:t xml:space="preserve"> Предложенная технология оценки принятых банком рисков и капитала имеет технологическое преимущество, основанное на универсальном подходе, который включает различные форматы официальной отчетности (РСПБУ и МСФО), агрегирующие первичные данные.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>. Представленный алгоритм позволяет диагностировать и предотвращать кредитные убытки на ранних стадиях их появления как для внутренних целей управления в банке, так и для экспертного сообщества, позволяющих диагностировать накопление системных рисков в банковском секторе.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Область возможного использования.</w:t>
      </w:r>
      <w:r>
        <w:rPr>
          <w:sz w:val="28"/>
          <w:szCs w:val="28"/>
        </w:rPr>
        <w:t xml:space="preserve"> Представленный подход может быть применен банковскими группами, монетарным регулятором в целях идентификации системных, в том числе кредитных рисков.</w:t>
      </w:r>
    </w:p>
    <w:p w:rsidR="00310C63" w:rsidRDefault="009B2CD5">
      <w:pPr>
        <w:spacing w:line="42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Сопутствующие полезные эффекты.</w:t>
      </w:r>
      <w:r>
        <w:rPr>
          <w:sz w:val="28"/>
          <w:szCs w:val="28"/>
        </w:rPr>
        <w:t xml:space="preserve"> Сопутствующим полезным эффектом представленной технологии является возможность предотвращать системные кризисы на финансовом рынке путем ее интеграции в экономические модели.</w:t>
      </w:r>
    </w:p>
    <w:p w:rsidR="00310C63" w:rsidRDefault="00310C63">
      <w:pPr>
        <w:spacing w:before="240" w:after="160" w:line="360" w:lineRule="auto"/>
        <w:ind w:firstLine="851"/>
        <w:jc w:val="both"/>
        <w:rPr>
          <w:sz w:val="28"/>
          <w:szCs w:val="28"/>
          <w:highlight w:val="yellow"/>
        </w:rPr>
      </w:pPr>
    </w:p>
    <w:sectPr w:rsidR="00310C63">
      <w:footerReference w:type="default" r:id="rId12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DC" w:rsidRDefault="005966DC">
      <w:r>
        <w:separator/>
      </w:r>
    </w:p>
  </w:endnote>
  <w:endnote w:type="continuationSeparator" w:id="0">
    <w:p w:rsidR="005966DC" w:rsidRDefault="0059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9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63" w:rsidRDefault="009B2CD5">
    <w:pPr>
      <w:jc w:val="center"/>
    </w:pPr>
    <w:r>
      <w:fldChar w:fldCharType="begin"/>
    </w:r>
    <w:r>
      <w:instrText>PAGE</w:instrText>
    </w:r>
    <w:r>
      <w:fldChar w:fldCharType="separate"/>
    </w:r>
    <w:r w:rsidR="00AC40B9">
      <w:rPr>
        <w:noProof/>
      </w:rPr>
      <w:t>3</w:t>
    </w:r>
    <w:r>
      <w:fldChar w:fldCharType="end"/>
    </w:r>
  </w:p>
  <w:p w:rsidR="00310C63" w:rsidRDefault="00310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DC" w:rsidRDefault="005966DC">
      <w:r>
        <w:separator/>
      </w:r>
    </w:p>
  </w:footnote>
  <w:footnote w:type="continuationSeparator" w:id="0">
    <w:p w:rsidR="005966DC" w:rsidRDefault="00596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3C5B"/>
    <w:multiLevelType w:val="multilevel"/>
    <w:tmpl w:val="7CB8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63"/>
    <w:rsid w:val="001205F3"/>
    <w:rsid w:val="001D05C4"/>
    <w:rsid w:val="00310C63"/>
    <w:rsid w:val="004A446D"/>
    <w:rsid w:val="005966DC"/>
    <w:rsid w:val="009B2CD5"/>
    <w:rsid w:val="00AC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B97A1-9E99-49F4-AA41-D45B340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86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25F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051F4F"/>
    <w:pPr>
      <w:keepNext/>
      <w:keepLines/>
      <w:numPr>
        <w:ilvl w:val="1"/>
        <w:numId w:val="1"/>
      </w:numPr>
      <w:suppressAutoHyphens/>
      <w:spacing w:before="40" w:line="276" w:lineRule="auto"/>
      <w:ind w:left="1152"/>
      <w:outlineLvl w:val="1"/>
    </w:pPr>
    <w:rPr>
      <w:rFonts w:eastAsia="Arial Unicode MS" w:cs="font195"/>
      <w:sz w:val="28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25F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325F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051F4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51F4F"/>
  </w:style>
  <w:style w:type="character" w:customStyle="1" w:styleId="20">
    <w:name w:val="Заголовок 2 Знак"/>
    <w:basedOn w:val="a1"/>
    <w:link w:val="2"/>
    <w:rsid w:val="00051F4F"/>
    <w:rPr>
      <w:rFonts w:ascii="Times New Roman" w:eastAsia="Arial Unicode MS" w:hAnsi="Times New Roman" w:cs="font195"/>
      <w:sz w:val="28"/>
      <w:szCs w:val="26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325F86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325F8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325F86"/>
    <w:rPr>
      <w:vertAlign w:val="superscript"/>
    </w:rPr>
  </w:style>
  <w:style w:type="paragraph" w:styleId="aa">
    <w:name w:val="List Paragraph"/>
    <w:basedOn w:val="a"/>
    <w:uiPriority w:val="34"/>
    <w:qFormat/>
    <w:rsid w:val="00325F86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325F86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25F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325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325F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325F8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2"/>
    <w:uiPriority w:val="59"/>
    <w:rsid w:val="00325F86"/>
    <w:pPr>
      <w:ind w:left="57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1"/>
    <w:link w:val="a4"/>
    <w:uiPriority w:val="10"/>
    <w:rsid w:val="00325F8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1">
    <w:name w:val="Текст примечания Знак"/>
    <w:basedOn w:val="a1"/>
    <w:link w:val="af2"/>
    <w:uiPriority w:val="99"/>
    <w:semiHidden/>
    <w:rsid w:val="00325F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text"/>
    <w:basedOn w:val="a"/>
    <w:link w:val="af1"/>
    <w:uiPriority w:val="99"/>
    <w:semiHidden/>
    <w:unhideWhenUsed/>
    <w:rsid w:val="00325F86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325F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325F86"/>
    <w:rPr>
      <w:b/>
      <w:bCs/>
    </w:rPr>
  </w:style>
  <w:style w:type="character" w:styleId="af5">
    <w:name w:val="Hyperlink"/>
    <w:basedOn w:val="a1"/>
    <w:uiPriority w:val="99"/>
    <w:unhideWhenUsed/>
    <w:rsid w:val="00325F86"/>
    <w:rPr>
      <w:color w:val="0563C1" w:themeColor="hyperlink"/>
      <w:u w:val="single"/>
    </w:rPr>
  </w:style>
  <w:style w:type="paragraph" w:styleId="af6">
    <w:name w:val="TOC Heading"/>
    <w:basedOn w:val="1"/>
    <w:next w:val="a"/>
    <w:uiPriority w:val="39"/>
    <w:unhideWhenUsed/>
    <w:qFormat/>
    <w:rsid w:val="00325F86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25F86"/>
    <w:pPr>
      <w:spacing w:after="100"/>
    </w:pPr>
  </w:style>
  <w:style w:type="paragraph" w:customStyle="1" w:styleId="highmes">
    <w:name w:val="highmes"/>
    <w:basedOn w:val="a"/>
    <w:rsid w:val="00FC640F"/>
    <w:pPr>
      <w:spacing w:before="100" w:beforeAutospacing="1" w:after="100" w:afterAutospacing="1"/>
    </w:pPr>
    <w:rPr>
      <w:lang w:eastAsia="ru-RU"/>
    </w:rPr>
  </w:style>
  <w:style w:type="paragraph" w:styleId="af7">
    <w:name w:val="Normal (Web)"/>
    <w:basedOn w:val="a"/>
    <w:uiPriority w:val="99"/>
    <w:unhideWhenUsed/>
    <w:rsid w:val="00FC640F"/>
    <w:pPr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2"/>
    <w:next w:val="af0"/>
    <w:uiPriority w:val="39"/>
    <w:rsid w:val="00E4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475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475D9"/>
    <w:rPr>
      <w:rFonts w:ascii="Tahoma" w:eastAsia="Times New Roman" w:hAnsi="Tahoma" w:cs="Tahoma"/>
      <w:sz w:val="16"/>
      <w:szCs w:val="16"/>
      <w:lang w:eastAsia="ar-SA"/>
    </w:rPr>
  </w:style>
  <w:style w:type="character" w:styleId="afa">
    <w:name w:val="annotation reference"/>
    <w:uiPriority w:val="99"/>
    <w:semiHidden/>
    <w:unhideWhenUsed/>
    <w:rsid w:val="007C2255"/>
    <w:rPr>
      <w:rFonts w:cs="Times New Roman"/>
      <w:sz w:val="16"/>
      <w:szCs w:val="16"/>
    </w:rPr>
  </w:style>
  <w:style w:type="character" w:customStyle="1" w:styleId="ant-typography">
    <w:name w:val="ant-typography"/>
    <w:basedOn w:val="a1"/>
    <w:rsid w:val="00773AA2"/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pPr>
      <w:ind w:left="57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">
    <w:name w:val="Revision"/>
    <w:hidden/>
    <w:uiPriority w:val="99"/>
    <w:semiHidden/>
    <w:rsid w:val="00457C35"/>
    <w:rPr>
      <w:lang w:eastAsia="ar-SA"/>
    </w:rPr>
  </w:style>
  <w:style w:type="table" w:customStyle="1" w:styleId="aff0">
    <w:basedOn w:val="TableNormal0"/>
    <w:pPr>
      <w:ind w:left="57"/>
    </w:pPr>
    <w:rPr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meshkova@fa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svzubkova@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f8lQYUAqTGGJZvYOS61+H12Zw==">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11854-A459-4A85-85C0-478375748E05}"/>
</file>

<file path=customXml/itemProps2.xml><?xml version="1.0" encoding="utf-8"?>
<ds:datastoreItem xmlns:ds="http://schemas.openxmlformats.org/officeDocument/2006/customXml" ds:itemID="{110EBB2F-757B-44DA-A2CB-C0ABAA8A3B61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DA7D69C0-47AD-46DA-B301-BF95B8D48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разработки алгоритма оценки рисков и обеспеченности капиталом банков и банковских групп на основе различных форматов официальной отчетности (РСПБУ и МСФО), агрегирующих первичные данные (рекламно-техническое описание)</dc:title>
  <dc:creator>Svetlana Zubkova</dc:creator>
  <cp:lastModifiedBy>Белгородцев Виктор Петрович</cp:lastModifiedBy>
  <cp:revision>4</cp:revision>
  <dcterms:created xsi:type="dcterms:W3CDTF">2021-09-27T13:36:00Z</dcterms:created>
  <dcterms:modified xsi:type="dcterms:W3CDTF">2021-09-28T07:01:00Z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