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26C7C" w14:textId="77777777" w:rsidR="00E304ED" w:rsidRPr="00776EE9" w:rsidRDefault="00E304ED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Результат интеллектуальной деятельности, реализованный</w:t>
      </w:r>
    </w:p>
    <w:p w14:paraId="4C08C6C2" w14:textId="77777777" w:rsidR="00E304ED" w:rsidRPr="00776EE9" w:rsidRDefault="00E304ED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в виде секрета производства (ноу –хау)</w:t>
      </w:r>
    </w:p>
    <w:p w14:paraId="1B7B2F6F" w14:textId="7E3B6D00" w:rsidR="0090446A" w:rsidRPr="005D7B4E" w:rsidRDefault="001815E2" w:rsidP="00600C5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1815E2">
        <w:rPr>
          <w:rFonts w:ascii="Times New Roman" w:hAnsi="Times New Roman"/>
          <w:b/>
          <w:sz w:val="28"/>
          <w:szCs w:val="28"/>
        </w:rPr>
        <w:t xml:space="preserve">Прототип </w:t>
      </w:r>
      <w:r w:rsidR="00B61BF5">
        <w:rPr>
          <w:rFonts w:ascii="Times New Roman" w:hAnsi="Times New Roman"/>
          <w:b/>
          <w:sz w:val="28"/>
          <w:szCs w:val="28"/>
        </w:rPr>
        <w:t xml:space="preserve">интерактивной карты структуры связей сообществ </w:t>
      </w:r>
      <w:r w:rsidR="00B61BF5">
        <w:rPr>
          <w:rFonts w:ascii="Times New Roman" w:hAnsi="Times New Roman"/>
          <w:b/>
          <w:sz w:val="28"/>
          <w:szCs w:val="28"/>
        </w:rPr>
        <w:br/>
        <w:t>в социальных сетях, связанных с Финансовым университетом</w:t>
      </w:r>
    </w:p>
    <w:bookmarkEnd w:id="0"/>
    <w:p w14:paraId="67C21C49" w14:textId="31F09953" w:rsidR="00E304ED" w:rsidRPr="00776EE9" w:rsidRDefault="00E304ED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</w:t>
      </w:r>
      <w:r w:rsidR="00E61D2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A1809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Pr="00776EE9">
        <w:rPr>
          <w:rFonts w:ascii="Times New Roman" w:hAnsi="Times New Roman" w:cs="Times New Roman"/>
          <w:color w:val="000000"/>
          <w:sz w:val="28"/>
          <w:szCs w:val="28"/>
        </w:rPr>
        <w:t xml:space="preserve"> научно – исследовательской работы</w:t>
      </w:r>
      <w:r w:rsidR="00E61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EE9">
        <w:rPr>
          <w:rFonts w:ascii="Times New Roman" w:hAnsi="Times New Roman" w:cs="Times New Roman"/>
          <w:color w:val="000000"/>
          <w:sz w:val="28"/>
          <w:szCs w:val="28"/>
        </w:rPr>
        <w:t>по теме:</w:t>
      </w:r>
    </w:p>
    <w:p w14:paraId="1CC4165B" w14:textId="6423D1EA" w:rsidR="00E304ED" w:rsidRPr="00776EE9" w:rsidRDefault="00E304ED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6654A" w:rsidRPr="0026654A">
        <w:rPr>
          <w:rFonts w:ascii="Times New Roman" w:hAnsi="Times New Roman" w:cs="Times New Roman"/>
          <w:color w:val="000000"/>
          <w:sz w:val="28"/>
          <w:szCs w:val="28"/>
        </w:rPr>
        <w:t>ФИНАНСОВЫЙ УНИВЕРСИТЕТ В ТРАДИЦИОННЫХ СМИ И В СОЦИАЛЬНЫХ МЕДИА: ИНФОРМАЦИОННЫЕ ПОТОКИ, ЦИФРОВЫЕ СООБЩЕСТВА, ЛИДЕРЫ ОБЩЕСТВЕННОГО МНЕНИЯ</w:t>
      </w:r>
      <w:r w:rsidRPr="00776EE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99A61E0" w14:textId="14335EC6" w:rsidR="00E304ED" w:rsidRPr="00776EE9" w:rsidRDefault="00E304ED" w:rsidP="00600C5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выполненной </w:t>
      </w:r>
      <w:r w:rsidR="00EA1809">
        <w:rPr>
          <w:rFonts w:ascii="Times New Roman" w:hAnsi="Times New Roman" w:cs="Times New Roman"/>
          <w:color w:val="000000"/>
          <w:sz w:val="28"/>
          <w:szCs w:val="28"/>
        </w:rPr>
        <w:t>в рамках д</w:t>
      </w:r>
      <w:r w:rsidR="00EA1809" w:rsidRPr="00EA1809">
        <w:rPr>
          <w:rFonts w:ascii="Times New Roman" w:hAnsi="Times New Roman" w:cs="Times New Roman"/>
          <w:color w:val="000000"/>
          <w:sz w:val="28"/>
          <w:szCs w:val="28"/>
        </w:rPr>
        <w:t>еятельности Научного фонда Финуниверситета</w:t>
      </w:r>
      <w:r w:rsidR="00EA1809" w:rsidRPr="00EA18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180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76EE9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7420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61BF5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776EE9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14:paraId="22A9866C" w14:textId="77777777" w:rsidR="00E304ED" w:rsidRPr="00773E0E" w:rsidRDefault="00E304ED" w:rsidP="00E304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96B1FA" w14:textId="77777777" w:rsidR="00E304ED" w:rsidRDefault="00E304ED" w:rsidP="00E304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Сведения об авторах:</w:t>
      </w:r>
    </w:p>
    <w:p w14:paraId="1C36AE5F" w14:textId="77777777" w:rsidR="00E304ED" w:rsidRDefault="00E304ED" w:rsidP="00E304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CC3139" w14:textId="77777777" w:rsidR="00E304ED" w:rsidRPr="00E304ED" w:rsidRDefault="00E304ED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39" w:type="dxa"/>
        <w:tblLook w:val="04A0" w:firstRow="1" w:lastRow="0" w:firstColumn="1" w:lastColumn="0" w:noHBand="0" w:noVBand="1"/>
      </w:tblPr>
      <w:tblGrid>
        <w:gridCol w:w="4149"/>
        <w:gridCol w:w="5190"/>
      </w:tblGrid>
      <w:tr w:rsidR="00E61D2F" w14:paraId="575E5F60" w14:textId="77777777" w:rsidTr="00E61D2F">
        <w:trPr>
          <w:trHeight w:val="3300"/>
        </w:trPr>
        <w:tc>
          <w:tcPr>
            <w:tcW w:w="4149" w:type="dxa"/>
          </w:tcPr>
          <w:p w14:paraId="6A69C8FA" w14:textId="7B30B0AF" w:rsidR="00E61D2F" w:rsidRDefault="00E61D2F" w:rsidP="00E61D2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F73013" wp14:editId="46FBFE2D">
                  <wp:extent cx="1847640" cy="1385728"/>
                  <wp:effectExtent l="21273" t="16827" r="21907" b="21908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67109" cy="140033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</w:tcPr>
          <w:p w14:paraId="4C52E3CE" w14:textId="77777777" w:rsidR="00E61D2F" w:rsidRDefault="00E61D2F" w:rsidP="00E61D2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 Артур Александрович</w:t>
            </w:r>
          </w:p>
          <w:p w14:paraId="22FA3F69" w14:textId="77777777" w:rsidR="00E61D2F" w:rsidRPr="00453DC6" w:rsidRDefault="00E61D2F" w:rsidP="00E61D2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C3F2B">
              <w:rPr>
                <w:rFonts w:ascii="Times New Roman" w:hAnsi="Times New Roman" w:cs="Times New Roman"/>
                <w:sz w:val="28"/>
                <w:szCs w:val="28"/>
              </w:rPr>
              <w:t xml:space="preserve">Ведущий научный сотрудник Центра политических исследований Финансового университета </w:t>
            </w:r>
          </w:p>
          <w:p w14:paraId="755F765C" w14:textId="77777777" w:rsidR="00E61D2F" w:rsidRPr="00453DC6" w:rsidRDefault="00E61D2F" w:rsidP="00E61D2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канд.техн</w:t>
            </w:r>
            <w:proofErr w:type="gramEnd"/>
            <w:r>
              <w:rPr>
                <w:rFonts w:ascii="Times New Roman" w:eastAsia="Calibri" w:hAnsi="Times New Roman" w:cs="Times New Roman"/>
              </w:rPr>
              <w:t>.наук</w:t>
            </w:r>
            <w:proofErr w:type="spellEnd"/>
          </w:p>
          <w:p w14:paraId="6A4C91BE" w14:textId="77777777" w:rsidR="00E61D2F" w:rsidRDefault="00E61D2F" w:rsidP="00E61D2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198515, Санкт-Петербург, ул. Гоголя, д. 8, кв. 61</w:t>
            </w:r>
          </w:p>
          <w:p w14:paraId="16801CA3" w14:textId="77777777" w:rsidR="00E61D2F" w:rsidRDefault="00E61D2F" w:rsidP="00E61D2F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9112522255</w:t>
            </w:r>
          </w:p>
          <w:p w14:paraId="77501C66" w14:textId="4BD7614C" w:rsidR="00E61D2F" w:rsidRDefault="00E61D2F" w:rsidP="00E61D2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9" w:history="1">
              <w:r w:rsidRPr="00AE679E">
                <w:rPr>
                  <w:rStyle w:val="a9"/>
                  <w:rFonts w:ascii="Times New Roman" w:hAnsi="Times New Roman" w:cs="Times New Roman"/>
                  <w:lang w:val="en-US"/>
                </w:rPr>
                <w:t>artur</w:t>
              </w:r>
              <w:r w:rsidRPr="00AE679E">
                <w:rPr>
                  <w:rStyle w:val="a9"/>
                  <w:rFonts w:ascii="Times New Roman" w:hAnsi="Times New Roman" w:cs="Times New Roman"/>
                </w:rPr>
                <w:t>-</w:t>
              </w:r>
              <w:r w:rsidRPr="00AE679E">
                <w:rPr>
                  <w:rStyle w:val="a9"/>
                  <w:rFonts w:ascii="Times New Roman" w:hAnsi="Times New Roman" w:cs="Times New Roman"/>
                  <w:lang w:val="en-US"/>
                </w:rPr>
                <w:t>azarov</w:t>
              </w:r>
              <w:r w:rsidRPr="00AE679E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AE679E">
                <w:rPr>
                  <w:rStyle w:val="a9"/>
                  <w:rFonts w:ascii="Times New Roman" w:hAnsi="Times New Roman" w:cs="Times New Roman"/>
                  <w:lang w:val="en-US"/>
                </w:rPr>
                <w:t>yandex</w:t>
              </w:r>
              <w:r w:rsidRPr="00AE679E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AE679E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E61D2F" w14:paraId="4117B0A0" w14:textId="77777777" w:rsidTr="001815E2">
        <w:trPr>
          <w:trHeight w:val="3723"/>
        </w:trPr>
        <w:tc>
          <w:tcPr>
            <w:tcW w:w="4149" w:type="dxa"/>
          </w:tcPr>
          <w:p w14:paraId="4C89592F" w14:textId="137569CB" w:rsidR="00E61D2F" w:rsidRDefault="00E61D2F" w:rsidP="00E61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685C34" wp14:editId="30A5E6FF">
                  <wp:extent cx="1385971" cy="2182748"/>
                  <wp:effectExtent l="0" t="0" r="5080" b="8255"/>
                  <wp:docPr id="2" name="Рисунок 1" descr="C:\Users\Карзубов\Downloads\Retouch_web-148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870E3F-180F-4DA3-8AF1-1E2388DEAF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Карзубов\Downloads\Retouch_web-148.jpg">
                            <a:extLst>
                              <a:ext uri="{FF2B5EF4-FFF2-40B4-BE49-F238E27FC236}">
                                <a16:creationId xmlns:a16="http://schemas.microsoft.com/office/drawing/2014/main" id="{57870E3F-180F-4DA3-8AF1-1E2388DEAF3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971" cy="2182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</w:tcPr>
          <w:p w14:paraId="50267DC3" w14:textId="77777777" w:rsidR="00E61D2F" w:rsidRDefault="00E61D2F" w:rsidP="00E61D2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БРОДОВСКАЯ Елена Викторовна</w:t>
            </w:r>
          </w:p>
          <w:p w14:paraId="6FB37B87" w14:textId="6FC163FD" w:rsidR="00E61D2F" w:rsidRPr="00453DC6" w:rsidRDefault="00E61D2F" w:rsidP="00E61D2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C3F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политических исследований Финансового университета </w:t>
            </w:r>
          </w:p>
          <w:p w14:paraId="5396D424" w14:textId="77777777" w:rsidR="00E61D2F" w:rsidRPr="00453DC6" w:rsidRDefault="00E61D2F" w:rsidP="00E61D2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C6105">
              <w:rPr>
                <w:rFonts w:ascii="Times New Roman" w:hAnsi="Times New Roman" w:cs="Times New Roman"/>
                <w:sz w:val="28"/>
                <w:szCs w:val="28"/>
              </w:rPr>
              <w:t xml:space="preserve">д-р </w:t>
            </w:r>
            <w:proofErr w:type="spellStart"/>
            <w:proofErr w:type="gramStart"/>
            <w:r w:rsidRPr="00EC6105">
              <w:rPr>
                <w:rFonts w:ascii="Times New Roman" w:hAnsi="Times New Roman" w:cs="Times New Roman"/>
                <w:sz w:val="28"/>
                <w:szCs w:val="28"/>
              </w:rPr>
              <w:t>полит.наук</w:t>
            </w:r>
            <w:proofErr w:type="spellEnd"/>
            <w:proofErr w:type="gramEnd"/>
            <w:r w:rsidRPr="00EC6105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5C554AB5" w14:textId="64FB23C9" w:rsidR="00E61D2F" w:rsidRDefault="00E61D2F" w:rsidP="00E61D2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143430, Красногорск, д. </w:t>
            </w:r>
            <w:proofErr w:type="spellStart"/>
            <w:r>
              <w:rPr>
                <w:rFonts w:ascii="Times New Roman" w:hAnsi="Times New Roman" w:cs="Times New Roman"/>
              </w:rPr>
              <w:t>Нефедьево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Артековская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4, корп. 1, кв. 4          </w:t>
            </w:r>
          </w:p>
          <w:p w14:paraId="4F1FF598" w14:textId="77777777" w:rsidR="00E61D2F" w:rsidRDefault="00E61D2F" w:rsidP="00E61D2F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9629890496</w:t>
            </w:r>
          </w:p>
          <w:p w14:paraId="73F5911E" w14:textId="181D9B04" w:rsidR="00E61D2F" w:rsidRDefault="00E61D2F" w:rsidP="00E61D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EC6105">
              <w:rPr>
                <w:rFonts w:ascii="Times New Roman" w:hAnsi="Times New Roman" w:cs="Times New Roman"/>
              </w:rPr>
              <w:t>brodovskaya@inbox.ru</w:t>
            </w:r>
          </w:p>
        </w:tc>
      </w:tr>
    </w:tbl>
    <w:p w14:paraId="52612740" w14:textId="65636660" w:rsidR="00E304ED" w:rsidRDefault="00E304ED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24478" w14:textId="26048188" w:rsidR="00EB26EF" w:rsidRDefault="000843A8" w:rsidP="0077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РЕКЛАМНО</w:t>
      </w:r>
      <w:r w:rsidR="00A3254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ТЕХНИЧЕСКОЕ ОПИСАНИЕ</w:t>
      </w:r>
    </w:p>
    <w:p w14:paraId="3E995B81" w14:textId="2C5B7F13" w:rsidR="00EB26EF" w:rsidRDefault="00EB26EF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BABAC" w14:textId="01CFFCF5" w:rsidR="00B62672" w:rsidRPr="00BD3F3E" w:rsidRDefault="00B62672" w:rsidP="00BD3F3E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D3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</w:t>
      </w:r>
      <w:proofErr w:type="gramStart"/>
      <w:r w:rsidRPr="00BD3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заделе</w:t>
      </w:r>
      <w:r w:rsidR="00BD3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BD3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76EE9">
        <w:rPr>
          <w:rFonts w:ascii="Times New Roman" w:hAnsi="Times New Roman" w:cs="Times New Roman"/>
          <w:sz w:val="28"/>
          <w:szCs w:val="28"/>
        </w:rPr>
        <w:t>РИД</w:t>
      </w:r>
      <w:proofErr w:type="gramEnd"/>
      <w:r w:rsidRPr="00776EE9">
        <w:rPr>
          <w:rFonts w:ascii="Times New Roman" w:hAnsi="Times New Roman" w:cs="Times New Roman"/>
          <w:sz w:val="28"/>
          <w:szCs w:val="28"/>
        </w:rPr>
        <w:t xml:space="preserve">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интерфейсу</w:t>
      </w:r>
      <w:r w:rsidR="00AC052E">
        <w:rPr>
          <w:rFonts w:ascii="Times New Roman" w:hAnsi="Times New Roman" w:cs="Times New Roman"/>
          <w:sz w:val="28"/>
          <w:szCs w:val="28"/>
        </w:rPr>
        <w:t xml:space="preserve">, доступному </w:t>
      </w:r>
      <w:r>
        <w:rPr>
          <w:rFonts w:ascii="Times New Roman" w:hAnsi="Times New Roman" w:cs="Times New Roman"/>
          <w:sz w:val="28"/>
          <w:szCs w:val="28"/>
        </w:rPr>
        <w:t>пользовател</w:t>
      </w:r>
      <w:r w:rsidR="00AC052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цифровых платформ, установленном на любом виде вычислительно устройства.</w:t>
      </w:r>
    </w:p>
    <w:p w14:paraId="4BE32461" w14:textId="0C216AF9" w:rsidR="0026654A" w:rsidRPr="0026654A" w:rsidRDefault="00B62672" w:rsidP="0026654A">
      <w:pPr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является </w:t>
      </w:r>
      <w:r w:rsidR="00AC052E">
        <w:rPr>
          <w:rFonts w:ascii="Times New Roman" w:hAnsi="Times New Roman" w:cs="Times New Roman"/>
          <w:sz w:val="28"/>
          <w:szCs w:val="28"/>
        </w:rPr>
        <w:t xml:space="preserve">интерактивная карта, отражающая структуру связей между сообществами в социальных сетях, отнесенных к </w:t>
      </w:r>
      <w:r w:rsidR="00776CE0">
        <w:rPr>
          <w:rFonts w:ascii="Times New Roman" w:hAnsi="Times New Roman" w:cs="Times New Roman"/>
          <w:sz w:val="28"/>
          <w:szCs w:val="28"/>
        </w:rPr>
        <w:t>определенной тематике (в приведенном примере — к Финансовому университету)</w:t>
      </w:r>
      <w:r w:rsidR="00AC052E">
        <w:rPr>
          <w:rFonts w:ascii="Times New Roman" w:hAnsi="Times New Roman" w:cs="Times New Roman"/>
          <w:sz w:val="28"/>
          <w:szCs w:val="28"/>
        </w:rPr>
        <w:t xml:space="preserve">. Карта состоит из двух графов. </w:t>
      </w:r>
      <w:r w:rsidR="0026654A" w:rsidRPr="0026654A">
        <w:rPr>
          <w:rFonts w:ascii="Times New Roman" w:hAnsi="Times New Roman" w:cs="Times New Roman"/>
          <w:sz w:val="28"/>
          <w:szCs w:val="28"/>
        </w:rPr>
        <w:t xml:space="preserve">В качестве входных данных используются группы, объем аудитории, связи с другими сообществами, расчет </w:t>
      </w:r>
      <w:proofErr w:type="spellStart"/>
      <w:r w:rsidR="0026654A" w:rsidRPr="0026654A">
        <w:rPr>
          <w:rFonts w:ascii="Times New Roman" w:hAnsi="Times New Roman" w:cs="Times New Roman"/>
          <w:sz w:val="28"/>
          <w:szCs w:val="28"/>
        </w:rPr>
        <w:t>ботовости</w:t>
      </w:r>
      <w:proofErr w:type="spellEnd"/>
      <w:r w:rsidR="0026654A" w:rsidRPr="0026654A">
        <w:rPr>
          <w:rFonts w:ascii="Times New Roman" w:hAnsi="Times New Roman" w:cs="Times New Roman"/>
          <w:sz w:val="28"/>
          <w:szCs w:val="28"/>
        </w:rPr>
        <w:t xml:space="preserve"> по всем пользователям групп.</w:t>
      </w:r>
    </w:p>
    <w:p w14:paraId="49F44C6A" w14:textId="7C75028F" w:rsidR="00640EA0" w:rsidRDefault="0026654A" w:rsidP="0026654A">
      <w:pPr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4A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граф </w:t>
      </w:r>
      <w:r w:rsidRPr="0026654A">
        <w:rPr>
          <w:rFonts w:ascii="Times New Roman" w:hAnsi="Times New Roman" w:cs="Times New Roman"/>
          <w:sz w:val="28"/>
          <w:szCs w:val="28"/>
        </w:rPr>
        <w:t>содержит связи между сообществами</w:t>
      </w:r>
      <w:r w:rsidR="00776CE0">
        <w:rPr>
          <w:rFonts w:ascii="Times New Roman" w:hAnsi="Times New Roman" w:cs="Times New Roman"/>
          <w:sz w:val="28"/>
          <w:szCs w:val="28"/>
        </w:rPr>
        <w:t>, относящимися к определенной тематике</w:t>
      </w:r>
      <w:r w:rsidRPr="0026654A">
        <w:rPr>
          <w:rFonts w:ascii="Times New Roman" w:hAnsi="Times New Roman" w:cs="Times New Roman"/>
          <w:sz w:val="28"/>
          <w:szCs w:val="28"/>
        </w:rPr>
        <w:t xml:space="preserve">, а также связи глубиной 2 с дружественными сообществами, которые указаны на страницах сообществ </w:t>
      </w:r>
      <w:r w:rsidR="00776CE0">
        <w:rPr>
          <w:rFonts w:ascii="Times New Roman" w:hAnsi="Times New Roman" w:cs="Times New Roman"/>
          <w:sz w:val="28"/>
          <w:szCs w:val="28"/>
        </w:rPr>
        <w:t>первой категории</w:t>
      </w:r>
      <w:r w:rsidRPr="0026654A">
        <w:rPr>
          <w:rFonts w:ascii="Times New Roman" w:hAnsi="Times New Roman" w:cs="Times New Roman"/>
          <w:sz w:val="28"/>
          <w:szCs w:val="28"/>
        </w:rPr>
        <w:t xml:space="preserve"> или хоть раз встречались на стене</w:t>
      </w:r>
      <w:r w:rsidR="00776CE0"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26654A">
        <w:rPr>
          <w:rFonts w:ascii="Times New Roman" w:hAnsi="Times New Roman" w:cs="Times New Roman"/>
          <w:sz w:val="28"/>
          <w:szCs w:val="28"/>
        </w:rPr>
        <w:t xml:space="preserve"> сообществ, то есть были </w:t>
      </w:r>
      <w:proofErr w:type="spellStart"/>
      <w:r w:rsidRPr="0026654A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 w:rsidRPr="0026654A">
        <w:rPr>
          <w:rFonts w:ascii="Times New Roman" w:hAnsi="Times New Roman" w:cs="Times New Roman"/>
          <w:sz w:val="28"/>
          <w:szCs w:val="28"/>
        </w:rPr>
        <w:t xml:space="preserve"> или комментарии новостей других сообществ. Данный граф позволяет оценить на сколько плотным и однородным является информационное поле, создаваемое сообществами, связанными с Финансовым университетом.</w:t>
      </w:r>
    </w:p>
    <w:p w14:paraId="06CFD56E" w14:textId="3E2F9C54" w:rsidR="0026654A" w:rsidRDefault="0026654A" w:rsidP="0026654A">
      <w:pPr>
        <w:spacing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54A">
        <w:rPr>
          <w:rFonts w:ascii="Times New Roman" w:hAnsi="Times New Roman" w:cs="Times New Roman"/>
          <w:sz w:val="28"/>
          <w:szCs w:val="28"/>
        </w:rPr>
        <w:t xml:space="preserve">Граф второго типа показывает пересечение между аудиториями сообществ, связанных </w:t>
      </w:r>
      <w:r w:rsidR="00776CE0">
        <w:rPr>
          <w:rFonts w:ascii="Times New Roman" w:hAnsi="Times New Roman" w:cs="Times New Roman"/>
          <w:sz w:val="28"/>
          <w:szCs w:val="28"/>
        </w:rPr>
        <w:t>к определённой тематике</w:t>
      </w:r>
      <w:r w:rsidRPr="0026654A">
        <w:rPr>
          <w:rFonts w:ascii="Times New Roman" w:hAnsi="Times New Roman" w:cs="Times New Roman"/>
          <w:sz w:val="28"/>
          <w:szCs w:val="28"/>
        </w:rPr>
        <w:t>.</w:t>
      </w:r>
    </w:p>
    <w:p w14:paraId="3FEFA8FF" w14:textId="4F51BE76" w:rsidR="00B62672" w:rsidRDefault="00BD3F3E" w:rsidP="00640EA0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54A">
        <w:rPr>
          <w:rFonts w:ascii="Times New Roman" w:hAnsi="Times New Roman" w:cs="Times New Roman"/>
          <w:sz w:val="28"/>
          <w:szCs w:val="28"/>
        </w:rPr>
        <w:t xml:space="preserve">РИД подготовлен в </w:t>
      </w:r>
      <w:r w:rsidR="00EA1809">
        <w:rPr>
          <w:rFonts w:ascii="Times New Roman" w:hAnsi="Times New Roman" w:cs="Times New Roman"/>
          <w:sz w:val="28"/>
          <w:szCs w:val="28"/>
        </w:rPr>
        <w:t>ходе</w:t>
      </w:r>
      <w:r w:rsidRPr="0026654A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773E0E" w:rsidRPr="0026654A">
        <w:rPr>
          <w:rFonts w:ascii="Times New Roman" w:hAnsi="Times New Roman" w:cs="Times New Roman"/>
          <w:sz w:val="28"/>
          <w:szCs w:val="28"/>
        </w:rPr>
        <w:t>-</w:t>
      </w:r>
      <w:r w:rsidRPr="0026654A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BD3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EA1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</w:t>
      </w:r>
      <w:r w:rsidR="00EA1809">
        <w:rPr>
          <w:rFonts w:ascii="Times New Roman" w:hAnsi="Times New Roman" w:cs="Times New Roman"/>
          <w:color w:val="000000"/>
          <w:sz w:val="28"/>
          <w:szCs w:val="28"/>
        </w:rPr>
        <w:t>деятельности Научного фонда Финуниверситета</w:t>
      </w:r>
      <w:r w:rsidRPr="00BD3F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3F3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6654A" w:rsidRPr="0026654A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 университет в традиционных СМИ и в социальных медиа: информационные потоки, цифровые сообщества, лидеры общественного мнения</w:t>
      </w:r>
      <w:r w:rsidR="00EA180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155600" w14:textId="43A333A7" w:rsidR="00BD3F3E" w:rsidRPr="005D057D" w:rsidRDefault="00BD3F3E" w:rsidP="00640EA0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B62672" w:rsidRPr="00BD3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тепень готовности к внедрению инновационного проекта</w:t>
      </w:r>
      <w:r w:rsidR="00B62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заявленн</w:t>
      </w:r>
      <w:r w:rsidR="00395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прототип </w:t>
      </w:r>
      <w:r w:rsidR="0026654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 карты</w:t>
      </w:r>
      <w:r w:rsidR="00395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057D">
        <w:rPr>
          <w:rFonts w:ascii="Times New Roman" w:eastAsia="Times New Roman" w:hAnsi="Times New Roman" w:cs="Times New Roman"/>
          <w:sz w:val="28"/>
          <w:szCs w:val="28"/>
        </w:rPr>
        <w:t>содержит описание модулей и их функциональности</w:t>
      </w:r>
      <w:r w:rsidR="003952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654A">
        <w:rPr>
          <w:rFonts w:ascii="Times New Roman" w:eastAsia="Times New Roman" w:hAnsi="Times New Roman" w:cs="Times New Roman"/>
          <w:sz w:val="28"/>
          <w:szCs w:val="28"/>
        </w:rPr>
        <w:t>графический пользовательский интерфейс и может быть использовано в исследовательских задачах</w:t>
      </w:r>
      <w:r w:rsidRPr="005D0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A43950" w14:textId="54DC81F4" w:rsidR="005C4790" w:rsidRDefault="00BD3F3E" w:rsidP="005C4790">
      <w:pPr>
        <w:spacing w:line="4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57D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="00B62672" w:rsidRPr="005D057D">
        <w:rPr>
          <w:rFonts w:ascii="Times New Roman" w:eastAsia="Times New Roman" w:hAnsi="Times New Roman" w:cs="Times New Roman"/>
          <w:i/>
          <w:iCs/>
          <w:sz w:val="28"/>
          <w:szCs w:val="28"/>
        </w:rPr>
        <w:t>овизна технологии, отличие от аналогов</w:t>
      </w:r>
      <w:r w:rsidRPr="005D057D">
        <w:rPr>
          <w:rFonts w:ascii="Times New Roman" w:eastAsia="Times New Roman" w:hAnsi="Times New Roman" w:cs="Times New Roman"/>
          <w:sz w:val="28"/>
          <w:szCs w:val="28"/>
        </w:rPr>
        <w:t xml:space="preserve">: в настоящее время аналогов </w:t>
      </w:r>
      <w:r w:rsidR="0026654A">
        <w:rPr>
          <w:rFonts w:ascii="Times New Roman" w:eastAsia="Times New Roman" w:hAnsi="Times New Roman" w:cs="Times New Roman"/>
          <w:sz w:val="28"/>
          <w:szCs w:val="28"/>
        </w:rPr>
        <w:t>разработанной интерактивной карты</w:t>
      </w:r>
      <w:r w:rsidR="005C4790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представленн</w:t>
      </w:r>
      <w:r w:rsidR="0026654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C4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открытом доступе,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нет. </w:t>
      </w:r>
    </w:p>
    <w:p w14:paraId="249CAC66" w14:textId="7DB99C60" w:rsidR="005C4790" w:rsidRPr="005C4790" w:rsidRDefault="005C4790" w:rsidP="005C4790">
      <w:pPr>
        <w:spacing w:line="4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программного модуля, были выбраны следующие технологии: язык программирования </w:t>
      </w:r>
      <w:r w:rsidR="002665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266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библиотеки </w:t>
      </w:r>
      <w:proofErr w:type="spellStart"/>
      <w:r w:rsidR="002665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vkR</w:t>
      </w:r>
      <w:proofErr w:type="spellEnd"/>
      <w:r w:rsidR="0026654A" w:rsidRPr="00266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665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Rgraph</w:t>
      </w:r>
      <w:proofErr w:type="spellEnd"/>
      <w:r w:rsidR="00266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6654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ggplot</w:t>
      </w:r>
      <w:proofErr w:type="spellEnd"/>
      <w:r w:rsidR="0026654A" w:rsidRPr="0026654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C47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E649DD" w14:textId="01976CD3" w:rsidR="00BD3F3E" w:rsidRPr="00E46E38" w:rsidRDefault="00E46E38" w:rsidP="005C4790">
      <w:pPr>
        <w:spacing w:line="4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E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66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Интерактивная карта позволяет отслеживать изменения </w:t>
      </w:r>
      <w:r w:rsidR="00322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информационного пространства </w:t>
      </w:r>
      <w:r w:rsidR="00776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определенной тематики </w:t>
      </w:r>
      <w:r w:rsidR="00322E2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догрузки всех необходимых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7CC3F8" w14:textId="6F5D56AC" w:rsidR="00BD3F3E" w:rsidRDefault="00E46E38" w:rsidP="00B62672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Экономические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55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разработанный прототип </w:t>
      </w:r>
      <w:r w:rsidR="00322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интерактивной карты </w:t>
      </w:r>
      <w:r w:rsidR="00D55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 </w:t>
      </w:r>
      <w:r w:rsidR="00D55F24" w:rsidRPr="00D55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сократить время, необходимое для анализа </w:t>
      </w:r>
      <w:r w:rsidR="00322E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информационного пространства </w:t>
      </w:r>
      <w:r w:rsidR="00776CE0">
        <w:rPr>
          <w:rFonts w:ascii="Times New Roman" w:eastAsia="Times New Roman" w:hAnsi="Times New Roman" w:cs="Times New Roman"/>
          <w:color w:val="000000"/>
          <w:sz w:val="28"/>
          <w:szCs w:val="28"/>
        </w:rPr>
        <w:t>по определенной тематике</w:t>
      </w:r>
      <w:r w:rsidR="00D55F24">
        <w:rPr>
          <w:rFonts w:ascii="Times New Roman" w:eastAsia="Times New Roman" w:hAnsi="Times New Roman" w:cs="Times New Roman"/>
          <w:color w:val="000000"/>
          <w:sz w:val="28"/>
          <w:szCs w:val="28"/>
        </w:rPr>
        <w:t>, тем самым позволит снизить издержки на работу аналитиков, так как часть их труда будет автоматизирована</w:t>
      </w:r>
      <w:r w:rsidR="006358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0A50E0" w14:textId="47A9FD46" w:rsidR="00BD3F3E" w:rsidRDefault="00E46E38" w:rsidP="00B62672">
      <w:pPr>
        <w:spacing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35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F24" w:rsidRPr="00D55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Областью возможного использования разработанного прототипа </w:t>
      </w:r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интерактивной карты</w:t>
      </w:r>
      <w:r w:rsidR="00D55F24" w:rsidRPr="00D55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</w:t>
      </w:r>
      <w:proofErr w:type="spellStart"/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медийной</w:t>
      </w:r>
      <w:proofErr w:type="spellEnd"/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</w:t>
      </w:r>
      <w:r w:rsidR="00776C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расчет охвата аудитории теми или иными новостями. Разработка общей концепции продвижения </w:t>
      </w:r>
      <w:proofErr w:type="spellStart"/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медийного</w:t>
      </w:r>
      <w:proofErr w:type="spellEnd"/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имиджа </w:t>
      </w:r>
      <w:r w:rsidR="00776C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социальных сетях.</w:t>
      </w:r>
    </w:p>
    <w:p w14:paraId="4E64FC2D" w14:textId="0B5B3BE8" w:rsidR="00EB26EF" w:rsidRPr="00EB26EF" w:rsidRDefault="00E46E38" w:rsidP="00542C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E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="00B62672" w:rsidRPr="00E46E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опутствующие полезные эффекты</w:t>
      </w:r>
      <w:r w:rsidR="00B62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построить аналогичные карты для ВУЗов схожей тематики для оценки их </w:t>
      </w:r>
      <w:proofErr w:type="spellStart"/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медийного</w:t>
      </w:r>
      <w:proofErr w:type="spellEnd"/>
      <w:r w:rsidR="00542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присутствия в социальных сетях.</w:t>
      </w:r>
    </w:p>
    <w:sectPr w:rsidR="00EB26EF" w:rsidRPr="00EB26EF" w:rsidSect="0090446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Courier New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13C0"/>
    <w:multiLevelType w:val="hybridMultilevel"/>
    <w:tmpl w:val="A77A8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6FF8"/>
    <w:multiLevelType w:val="hybridMultilevel"/>
    <w:tmpl w:val="0AFCCDCC"/>
    <w:lvl w:ilvl="0" w:tplc="81926408">
      <w:start w:val="370"/>
      <w:numFmt w:val="bullet"/>
      <w:lvlText w:val="-"/>
      <w:lvlJc w:val="left"/>
      <w:pPr>
        <w:ind w:left="1768" w:hanging="10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FC7ECF"/>
    <w:multiLevelType w:val="hybridMultilevel"/>
    <w:tmpl w:val="48622B96"/>
    <w:lvl w:ilvl="0" w:tplc="852C619E">
      <w:start w:val="4"/>
      <w:numFmt w:val="bullet"/>
      <w:lvlText w:val="-"/>
      <w:lvlJc w:val="left"/>
      <w:pPr>
        <w:ind w:left="1148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 w15:restartNumberingAfterBreak="0">
    <w:nsid w:val="301960AC"/>
    <w:multiLevelType w:val="multilevel"/>
    <w:tmpl w:val="188CF128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ED"/>
    <w:rsid w:val="00010C48"/>
    <w:rsid w:val="000739A0"/>
    <w:rsid w:val="00074369"/>
    <w:rsid w:val="000843A8"/>
    <w:rsid w:val="000E4989"/>
    <w:rsid w:val="00125E93"/>
    <w:rsid w:val="00141E48"/>
    <w:rsid w:val="00154599"/>
    <w:rsid w:val="001815E2"/>
    <w:rsid w:val="00253768"/>
    <w:rsid w:val="0026654A"/>
    <w:rsid w:val="00274A3D"/>
    <w:rsid w:val="00322E2A"/>
    <w:rsid w:val="0039529C"/>
    <w:rsid w:val="003F60FC"/>
    <w:rsid w:val="004246D1"/>
    <w:rsid w:val="0042511A"/>
    <w:rsid w:val="00542C7C"/>
    <w:rsid w:val="005C4790"/>
    <w:rsid w:val="005D057D"/>
    <w:rsid w:val="005D7B4E"/>
    <w:rsid w:val="00600C55"/>
    <w:rsid w:val="00605F0A"/>
    <w:rsid w:val="0063587E"/>
    <w:rsid w:val="006376EE"/>
    <w:rsid w:val="00640EA0"/>
    <w:rsid w:val="00664ADF"/>
    <w:rsid w:val="006660F6"/>
    <w:rsid w:val="006A2B4D"/>
    <w:rsid w:val="0070494F"/>
    <w:rsid w:val="007420BE"/>
    <w:rsid w:val="00747A3E"/>
    <w:rsid w:val="00773E0E"/>
    <w:rsid w:val="007755F4"/>
    <w:rsid w:val="00776CE0"/>
    <w:rsid w:val="00776EE9"/>
    <w:rsid w:val="00780E1B"/>
    <w:rsid w:val="00784FC9"/>
    <w:rsid w:val="007C6403"/>
    <w:rsid w:val="007D376E"/>
    <w:rsid w:val="0080029A"/>
    <w:rsid w:val="00835945"/>
    <w:rsid w:val="008E28D5"/>
    <w:rsid w:val="0090446A"/>
    <w:rsid w:val="00967DC6"/>
    <w:rsid w:val="00991A5A"/>
    <w:rsid w:val="009A7E89"/>
    <w:rsid w:val="00A203A3"/>
    <w:rsid w:val="00A32540"/>
    <w:rsid w:val="00A65222"/>
    <w:rsid w:val="00AC052E"/>
    <w:rsid w:val="00AD52CB"/>
    <w:rsid w:val="00AD656F"/>
    <w:rsid w:val="00B106F0"/>
    <w:rsid w:val="00B203A8"/>
    <w:rsid w:val="00B61BF5"/>
    <w:rsid w:val="00B62672"/>
    <w:rsid w:val="00B63D4A"/>
    <w:rsid w:val="00BD3E3A"/>
    <w:rsid w:val="00BD3F3E"/>
    <w:rsid w:val="00BE7095"/>
    <w:rsid w:val="00C4200D"/>
    <w:rsid w:val="00D55F24"/>
    <w:rsid w:val="00E304ED"/>
    <w:rsid w:val="00E46E38"/>
    <w:rsid w:val="00E61D2F"/>
    <w:rsid w:val="00EA1809"/>
    <w:rsid w:val="00EB26EF"/>
    <w:rsid w:val="00EB4291"/>
    <w:rsid w:val="00EB667C"/>
    <w:rsid w:val="00EC3F2B"/>
    <w:rsid w:val="00F323D3"/>
    <w:rsid w:val="00F916A7"/>
    <w:rsid w:val="00FD74A4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2DCD0"/>
  <w14:defaultImageDpi w14:val="300"/>
  <w15:docId w15:val="{92ADC306-E3D9-416F-BE68-2720AE03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3A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A8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aliases w:val="Надпись к иллюстрации,Bullet List,FooterText,numbered,Paragraphe de liste1,lp1"/>
    <w:basedOn w:val="a"/>
    <w:link w:val="a7"/>
    <w:uiPriority w:val="34"/>
    <w:qFormat/>
    <w:rsid w:val="00776EE9"/>
    <w:pPr>
      <w:ind w:left="720"/>
      <w:contextualSpacing/>
    </w:pPr>
  </w:style>
  <w:style w:type="character" w:customStyle="1" w:styleId="a7">
    <w:name w:val="Абзац списка Знак"/>
    <w:aliases w:val="Надпись к иллюстрации Знак,Bullet List Знак,FooterText Знак,numbered Знак,Paragraphe de liste1 Знак,lp1 Знак"/>
    <w:link w:val="a6"/>
    <w:uiPriority w:val="34"/>
    <w:locked/>
    <w:rsid w:val="00B106F0"/>
  </w:style>
  <w:style w:type="paragraph" w:styleId="a8">
    <w:name w:val="Normal (Web)"/>
    <w:aliases w:val="Знак,Обычный (Web) + 14 пт,По ширине,Первая строка:  1,27 см,Пере..."/>
    <w:basedOn w:val="a"/>
    <w:uiPriority w:val="99"/>
    <w:unhideWhenUsed/>
    <w:rsid w:val="00FE55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1815E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6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artur-azarov@yandex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CF742-7B78-47C8-9DBF-B0E6F93ED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F0BC91-AFA0-424A-919D-94F868233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C210C-820E-425B-9A91-8A72EE61D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РИД - Методика оценки готовности компаний к внедрению технологий интеллектуальных сетей и технологий Internet of Energy (рекламно-техническое описание)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Прототип интерактивной карты структуры связей сообществ  в социальных сетях, связанных с Финансовым университетом (рекламно-техническое описание)</dc:title>
  <dc:subject/>
  <dc:creator>NATALIE LINDER</dc:creator>
  <cp:keywords/>
  <dc:description/>
  <cp:lastModifiedBy>Белгородцев Виктор Петрович</cp:lastModifiedBy>
  <cp:revision>2</cp:revision>
  <dcterms:created xsi:type="dcterms:W3CDTF">2021-11-08T07:36:00Z</dcterms:created>
  <dcterms:modified xsi:type="dcterms:W3CDTF">2021-11-08T07:36:00Z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