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13" w:type="dxa"/>
        <w:tblLayout w:type="fixed"/>
        <w:tblLook w:val="0000" w:firstRow="0" w:lastRow="0" w:firstColumn="0" w:lastColumn="0" w:noHBand="0" w:noVBand="0"/>
      </w:tblPr>
      <w:tblGrid>
        <w:gridCol w:w="9214"/>
        <w:gridCol w:w="4199"/>
      </w:tblGrid>
      <w:tr w:rsidR="00C4670D" w:rsidRPr="00193676" w:rsidTr="00717E0F">
        <w:tc>
          <w:tcPr>
            <w:tcW w:w="9214" w:type="dxa"/>
          </w:tcPr>
          <w:p w:rsidR="00C4670D" w:rsidRPr="00193676" w:rsidRDefault="00C4670D" w:rsidP="00C4670D">
            <w:pPr>
              <w:spacing w:after="160" w:line="259" w:lineRule="auto"/>
              <w:jc w:val="left"/>
            </w:pPr>
          </w:p>
        </w:tc>
        <w:tc>
          <w:tcPr>
            <w:tcW w:w="4199" w:type="dxa"/>
          </w:tcPr>
          <w:p w:rsidR="00C4670D" w:rsidRPr="00193676" w:rsidRDefault="00C4670D" w:rsidP="00717E0F">
            <w:pPr>
              <w:spacing w:line="276" w:lineRule="auto"/>
            </w:pPr>
          </w:p>
        </w:tc>
      </w:tr>
    </w:tbl>
    <w:p w:rsidR="00C4670D" w:rsidRDefault="00C4670D" w:rsidP="00C4670D">
      <w:pPr>
        <w:spacing w:line="276" w:lineRule="auto"/>
        <w:jc w:val="center"/>
      </w:pPr>
      <w:r w:rsidRPr="00193676">
        <w:t xml:space="preserve">Результат интеллектуальной деятельности </w:t>
      </w:r>
    </w:p>
    <w:p w:rsidR="00C4670D" w:rsidRDefault="00783961" w:rsidP="00C4670D">
      <w:pPr>
        <w:spacing w:line="276" w:lineRule="auto"/>
        <w:jc w:val="center"/>
      </w:pPr>
      <w:r>
        <w:t>в виде секрета производства (ноу-хау)</w:t>
      </w:r>
    </w:p>
    <w:p w:rsidR="00C4670D" w:rsidRPr="00C4670D" w:rsidRDefault="00C4670D" w:rsidP="00C4670D">
      <w:pPr>
        <w:spacing w:line="240" w:lineRule="auto"/>
        <w:jc w:val="center"/>
        <w:rPr>
          <w:b/>
        </w:rPr>
      </w:pPr>
      <w:r w:rsidRPr="00C4670D">
        <w:rPr>
          <w:b/>
        </w:rPr>
        <w:t>МЕТОДИКА РАСЧЕТА СПРАВЕДЛИВОГО ВОЗМЕЩЕНИЯ «СТОИМОСТИ ЖИЗНИ» В СВЯЗИ С ГИБЕЛЬЮ ЧЕЛОВЕКА В ЧРЕЗВЫЧАЙНЫХ СИТУАЦИЯХ</w:t>
      </w:r>
    </w:p>
    <w:p w:rsidR="00C4670D" w:rsidRPr="00193676" w:rsidRDefault="00C4670D" w:rsidP="00C4670D">
      <w:pPr>
        <w:spacing w:line="276" w:lineRule="auto"/>
        <w:jc w:val="center"/>
      </w:pPr>
      <w:r w:rsidRPr="00193676">
        <w:t>разработан в рамках научно - исследовательской работы по теме:</w:t>
      </w:r>
    </w:p>
    <w:p w:rsidR="00C4670D" w:rsidRDefault="00C4670D" w:rsidP="00C4670D">
      <w:pPr>
        <w:spacing w:line="276" w:lineRule="auto"/>
        <w:jc w:val="center"/>
      </w:pPr>
      <w:r w:rsidRPr="00193676">
        <w:t>ИССЛЕДОВАНИЕ СПРАВЕДЛИВОГО ВОЗМЕЩЕНИЯ «СТОИМОСТИ ЖИЗНИ» В СВЯЗИ С ГИБЕЛЬЮ ЧЕЛОВЕКА В ЧРЕЗВЫЧАЙНЫХ СИТУАЦИЯХ</w:t>
      </w:r>
    </w:p>
    <w:p w:rsidR="00C4670D" w:rsidRPr="00193676" w:rsidRDefault="00C4670D" w:rsidP="00C4670D">
      <w:pPr>
        <w:spacing w:line="276" w:lineRule="auto"/>
        <w:jc w:val="center"/>
      </w:pPr>
      <w:r>
        <w:t>выполненной в рамках государственного задания на 201</w:t>
      </w:r>
      <w:r w:rsidR="00783961">
        <w:t>7</w:t>
      </w:r>
      <w:r>
        <w:t xml:space="preserve"> год</w:t>
      </w:r>
    </w:p>
    <w:p w:rsidR="00BF698D" w:rsidRDefault="00BF698D" w:rsidP="00C4670D">
      <w:pPr>
        <w:spacing w:line="276" w:lineRule="auto"/>
      </w:pPr>
    </w:p>
    <w:p w:rsidR="00C4670D" w:rsidRDefault="00C4670D" w:rsidP="00C4670D">
      <w:pPr>
        <w:spacing w:line="276" w:lineRule="auto"/>
      </w:pPr>
      <w:r>
        <w:t>Сведения об авторах</w:t>
      </w:r>
      <w:r w:rsidRPr="0088520A">
        <w:t>:</w:t>
      </w:r>
    </w:p>
    <w:p w:rsidR="00BF698D" w:rsidRPr="0088520A" w:rsidRDefault="00BF698D" w:rsidP="00C4670D">
      <w:pPr>
        <w:spacing w:line="276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BF698D" w:rsidTr="009A20E0">
        <w:tc>
          <w:tcPr>
            <w:tcW w:w="4395" w:type="dxa"/>
          </w:tcPr>
          <w:p w:rsidR="00BF698D" w:rsidRDefault="00BF698D" w:rsidP="00C4670D">
            <w:pPr>
              <w:spacing w:line="276" w:lineRule="auto"/>
            </w:pPr>
            <w:r w:rsidRPr="00C4670D">
              <w:rPr>
                <w:noProof/>
              </w:rPr>
              <w:drawing>
                <wp:inline distT="0" distB="0" distL="0" distR="0" wp14:anchorId="42EFFB17" wp14:editId="0B80756E">
                  <wp:extent cx="2038350" cy="2457450"/>
                  <wp:effectExtent l="0" t="0" r="0" b="0"/>
                  <wp:docPr id="1" name="Рисунок 1" descr="C:\Users\АЛЕКСЕЙ\Desktop\Зубец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Зубец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F698D" w:rsidRDefault="00BF698D" w:rsidP="00C4670D">
            <w:pPr>
              <w:spacing w:line="276" w:lineRule="auto"/>
            </w:pPr>
            <w:r w:rsidRPr="00C4670D">
              <w:rPr>
                <w:lang w:eastAsia="en-US"/>
              </w:rPr>
              <w:t>Зубец</w:t>
            </w:r>
            <w:r>
              <w:rPr>
                <w:lang w:eastAsia="en-US"/>
              </w:rPr>
              <w:t xml:space="preserve"> Алексей Николаевич, </w:t>
            </w:r>
            <w:r w:rsidRPr="00E56924">
              <w:rPr>
                <w:lang w:eastAsia="en-US"/>
              </w:rPr>
              <w:t>д</w:t>
            </w:r>
            <w:r>
              <w:rPr>
                <w:lang w:eastAsia="en-US"/>
              </w:rPr>
              <w:t>октор экономических наук</w:t>
            </w:r>
            <w:r w:rsidRPr="00E5692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заведующий </w:t>
            </w:r>
            <w:r w:rsidRPr="00E56924">
              <w:rPr>
                <w:lang w:eastAsia="en-US"/>
              </w:rPr>
              <w:t>кафедрой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«Прикладная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социология»</w:t>
            </w:r>
            <w:r>
              <w:rPr>
                <w:lang w:eastAsia="en-US"/>
              </w:rPr>
              <w:t>.</w:t>
            </w:r>
            <w:r w:rsidRPr="001763F0">
              <w:t xml:space="preserve"> Стаж работы в Финансовом университете с 2013 г.</w:t>
            </w:r>
          </w:p>
        </w:tc>
      </w:tr>
    </w:tbl>
    <w:p w:rsidR="00C4670D" w:rsidRPr="00193676" w:rsidRDefault="00C4670D" w:rsidP="00C4670D">
      <w:pPr>
        <w:spacing w:line="276" w:lineRule="auto"/>
      </w:pPr>
    </w:p>
    <w:p w:rsidR="00C4670D" w:rsidRDefault="00C4670D" w:rsidP="00C4670D">
      <w:pPr>
        <w:pStyle w:val="ConsPlusNonformat"/>
        <w:spacing w:line="360" w:lineRule="auto"/>
        <w:rPr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BF698D" w:rsidTr="009A20E0">
        <w:tc>
          <w:tcPr>
            <w:tcW w:w="4395" w:type="dxa"/>
          </w:tcPr>
          <w:p w:rsidR="00BF698D" w:rsidRDefault="00BF698D" w:rsidP="001763F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3F0">
              <w:rPr>
                <w:noProof/>
              </w:rPr>
              <w:drawing>
                <wp:inline distT="0" distB="0" distL="0" distR="0" wp14:anchorId="40CA1ABA" wp14:editId="247037B3">
                  <wp:extent cx="2019300" cy="2647950"/>
                  <wp:effectExtent l="0" t="0" r="0" b="9525"/>
                  <wp:docPr id="2" name="Рисунок 2" descr="C:\Users\АЛЕКСЕЙ\Desktop\фото Обор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фото Обор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F698D" w:rsidRPr="00E56924" w:rsidRDefault="00BF698D" w:rsidP="00BF69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Оборский Алексей Юрьевич, кандидат философских наук</w:t>
            </w:r>
            <w:r w:rsidRPr="00E5692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доцент,</w:t>
            </w:r>
            <w:r>
              <w:rPr>
                <w:lang w:eastAsia="en-US"/>
              </w:rPr>
              <w:t xml:space="preserve"> </w:t>
            </w:r>
          </w:p>
          <w:p w:rsidR="00BF698D" w:rsidRDefault="00BF698D" w:rsidP="00BF698D">
            <w:pPr>
              <w:spacing w:line="276" w:lineRule="auto"/>
              <w:rPr>
                <w:lang w:eastAsia="en-US"/>
              </w:rPr>
            </w:pPr>
            <w:r w:rsidRPr="00BF698D">
              <w:rPr>
                <w:lang w:eastAsia="en-US"/>
              </w:rPr>
              <w:t xml:space="preserve">заместитель заведующего по учебной работе кафедры «Прикладная социология». </w:t>
            </w:r>
            <w:r w:rsidRPr="001763F0">
              <w:rPr>
                <w:lang w:eastAsia="en-US"/>
              </w:rPr>
              <w:t xml:space="preserve">Стаж работы в Финансовом университете с </w:t>
            </w:r>
            <w:r>
              <w:rPr>
                <w:lang w:eastAsia="en-US"/>
              </w:rPr>
              <w:t>2012</w:t>
            </w:r>
            <w:r w:rsidRPr="001763F0">
              <w:rPr>
                <w:lang w:eastAsia="en-US"/>
              </w:rPr>
              <w:t xml:space="preserve"> г.</w:t>
            </w:r>
          </w:p>
        </w:tc>
      </w:tr>
    </w:tbl>
    <w:p w:rsidR="00C4670D" w:rsidRDefault="00C4670D" w:rsidP="001763F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9A20E0" w:rsidTr="009A20E0">
        <w:tc>
          <w:tcPr>
            <w:tcW w:w="4390" w:type="dxa"/>
          </w:tcPr>
          <w:p w:rsidR="009A20E0" w:rsidRDefault="009A20E0" w:rsidP="001763F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A30">
              <w:rPr>
                <w:noProof/>
              </w:rPr>
              <w:drawing>
                <wp:inline distT="0" distB="0" distL="0" distR="0" wp14:anchorId="4AD8762F" wp14:editId="6D3ACAEE">
                  <wp:extent cx="2028825" cy="2676525"/>
                  <wp:effectExtent l="0" t="0" r="9525" b="9525"/>
                  <wp:docPr id="26" name="Рисунок 26" descr="C:\Users\АЛЕКСЕЙ\Desktop\Личное, разное\Личные данные\Мои фото\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Личное, разное\Личные данные\Мои фото\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4215" cy="276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9A20E0" w:rsidRDefault="009A20E0" w:rsidP="009A2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Новиков Алексей Викторович, доктор социологических наук, профессор, </w:t>
            </w:r>
            <w:r w:rsidRPr="00E56924">
              <w:rPr>
                <w:lang w:eastAsia="en-US"/>
              </w:rPr>
              <w:t>заместитель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заведующего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по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научной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работе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кафедры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«Прикладная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социология»</w:t>
            </w:r>
            <w:r>
              <w:rPr>
                <w:lang w:eastAsia="en-US"/>
              </w:rPr>
              <w:t xml:space="preserve">. </w:t>
            </w:r>
            <w:r w:rsidRPr="001763F0">
              <w:rPr>
                <w:lang w:eastAsia="en-US"/>
              </w:rPr>
              <w:t xml:space="preserve">Стаж работы </w:t>
            </w:r>
            <w:r>
              <w:rPr>
                <w:lang w:eastAsia="en-US"/>
              </w:rPr>
              <w:br/>
            </w:r>
            <w:r w:rsidRPr="001763F0">
              <w:rPr>
                <w:lang w:eastAsia="en-US"/>
              </w:rPr>
              <w:t xml:space="preserve">в Финансовом университете с </w:t>
            </w:r>
            <w:r>
              <w:rPr>
                <w:lang w:eastAsia="en-US"/>
              </w:rPr>
              <w:t>2013</w:t>
            </w:r>
            <w:r w:rsidRPr="001763F0">
              <w:rPr>
                <w:lang w:eastAsia="en-US"/>
              </w:rPr>
              <w:t xml:space="preserve"> г.</w:t>
            </w:r>
          </w:p>
        </w:tc>
      </w:tr>
    </w:tbl>
    <w:p w:rsidR="009A20E0" w:rsidRDefault="009A20E0" w:rsidP="001763F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698D" w:rsidRDefault="009A20E0" w:rsidP="001763F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Контакты</w:t>
      </w:r>
      <w:r w:rsidR="00FB48C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B48CC" w:rsidRPr="00FB48CC" w:rsidRDefault="00FB48CC" w:rsidP="001763F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+ 7 917 5272087,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AVNovikov@fa.ru</w:t>
      </w:r>
    </w:p>
    <w:p w:rsidR="00BF698D" w:rsidRPr="001763F0" w:rsidRDefault="00BF698D" w:rsidP="00BF698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698D" w:rsidRDefault="00BF698D" w:rsidP="00C4670D">
      <w:pPr>
        <w:ind w:firstLine="709"/>
        <w:jc w:val="center"/>
      </w:pPr>
    </w:p>
    <w:p w:rsidR="00C4670D" w:rsidRDefault="00783961" w:rsidP="00C4670D">
      <w:pPr>
        <w:ind w:firstLine="709"/>
        <w:jc w:val="center"/>
      </w:pPr>
      <w:r>
        <w:t>РЕКЛАМНО-ТЕХНИЧЕСКОЕ ОПИСАНИЕ</w:t>
      </w:r>
      <w:r w:rsidR="00C4670D" w:rsidRPr="00193676">
        <w:t xml:space="preserve"> РЕЗУЛЬТАТА ИНТЕЛЛЕКТУАЛЬНОЙ ДЕЯТЕЛЬНОСТИ</w:t>
      </w:r>
    </w:p>
    <w:p w:rsidR="00C4670D" w:rsidRDefault="00C4670D" w:rsidP="00C4670D">
      <w:pPr>
        <w:ind w:firstLine="709"/>
      </w:pPr>
    </w:p>
    <w:p w:rsidR="00C4670D" w:rsidRDefault="00C4670D" w:rsidP="00C4670D">
      <w:pPr>
        <w:ind w:firstLine="709"/>
      </w:pPr>
      <w:r w:rsidRPr="00CC0457">
        <w:t xml:space="preserve">Под «стоимостью жизни» понимается общепринятый, наиболее употребительный интервал компенсаций в связи с гибелью человека в чрезвычайных ситуациях, используемый в той или иной стране. </w:t>
      </w:r>
    </w:p>
    <w:p w:rsidR="00C4670D" w:rsidRDefault="00C4670D" w:rsidP="00C4670D">
      <w:pPr>
        <w:pStyle w:val="a"/>
        <w:numPr>
          <w:ilvl w:val="0"/>
          <w:numId w:val="0"/>
        </w:numPr>
        <w:ind w:firstLine="709"/>
        <w:contextualSpacing w:val="0"/>
      </w:pPr>
      <w:r>
        <w:t>Методика расчета «стоимости» человеческой жизни для экономики в целом и для отдельной семьи заметно различаются между собой.</w:t>
      </w:r>
      <w:r w:rsidRPr="00EF47C7">
        <w:t xml:space="preserve"> </w:t>
      </w:r>
      <w:r>
        <w:t xml:space="preserve">«Стоимость» жизни или «стоимость» инвалидности среднестатистического человека для экономики – это потеря национального благосостояния, вызванная его гибелью или потерей способности трудиться в прежнем объеме. </w:t>
      </w:r>
    </w:p>
    <w:p w:rsidR="00C4670D" w:rsidRPr="00604E5E" w:rsidRDefault="00C4670D" w:rsidP="00C4670D">
      <w:pPr>
        <w:ind w:firstLine="709"/>
      </w:pPr>
      <w:r w:rsidRPr="00604E5E">
        <w:t xml:space="preserve">В рамках данного подхода «стоимость» жизни можно </w:t>
      </w:r>
      <w:proofErr w:type="gramStart"/>
      <w:r w:rsidRPr="00604E5E">
        <w:t>оценить</w:t>
      </w:r>
      <w:proofErr w:type="gramEnd"/>
      <w:r w:rsidRPr="00604E5E">
        <w:t xml:space="preserve"> как суммарные потери произведенного ВВП из-за гибели среднестатистического человека при ЧС различного характера по формуле (1): </w:t>
      </w:r>
    </w:p>
    <w:p w:rsidR="00C4670D" w:rsidRPr="00604E5E" w:rsidRDefault="00C4670D" w:rsidP="00C4670D"/>
    <w:tbl>
      <w:tblPr>
        <w:tblStyle w:val="2"/>
        <w:tblW w:w="0" w:type="auto"/>
        <w:tblInd w:w="2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411"/>
        <w:gridCol w:w="1889"/>
        <w:gridCol w:w="1397"/>
      </w:tblGrid>
      <w:tr w:rsidR="00C4670D" w:rsidRPr="00604E5E" w:rsidTr="00717E0F">
        <w:tc>
          <w:tcPr>
            <w:tcW w:w="1695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</w:pPr>
          </w:p>
        </w:tc>
        <w:tc>
          <w:tcPr>
            <w:tcW w:w="1411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  <w:rPr>
                <w:lang w:val="en-US"/>
              </w:rPr>
            </w:pPr>
            <w:r w:rsidRPr="00604E5E">
              <w:rPr>
                <w:lang w:val="en-US"/>
              </w:rPr>
              <w:t>n</w:t>
            </w:r>
          </w:p>
        </w:tc>
        <w:tc>
          <w:tcPr>
            <w:tcW w:w="1889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97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</w:pPr>
          </w:p>
        </w:tc>
      </w:tr>
      <w:tr w:rsidR="00C4670D" w:rsidRPr="00604E5E" w:rsidTr="00717E0F">
        <w:tc>
          <w:tcPr>
            <w:tcW w:w="1695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</w:pPr>
            <w:r w:rsidRPr="00604E5E">
              <w:t>ССЖ =</w:t>
            </w:r>
          </w:p>
        </w:tc>
        <w:tc>
          <w:tcPr>
            <w:tcW w:w="1411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  <w:rPr>
                <w:lang w:val="en-US"/>
              </w:rPr>
            </w:pPr>
            <w:r w:rsidRPr="00604E5E">
              <w:rPr>
                <w:sz w:val="48"/>
                <w:szCs w:val="48"/>
              </w:rPr>
              <w:sym w:font="Symbol" w:char="F0E5"/>
            </w:r>
            <w:r w:rsidRPr="00604E5E">
              <w:rPr>
                <w:sz w:val="48"/>
                <w:lang w:val="en-US"/>
              </w:rPr>
              <w:t xml:space="preserve"> </w:t>
            </w:r>
          </w:p>
        </w:tc>
        <w:tc>
          <w:tcPr>
            <w:tcW w:w="1889" w:type="dxa"/>
            <w:vAlign w:val="center"/>
          </w:tcPr>
          <w:p w:rsidR="00C4670D" w:rsidRPr="00604E5E" w:rsidRDefault="00C4670D" w:rsidP="00717E0F">
            <w:pPr>
              <w:ind w:firstLine="0"/>
              <w:jc w:val="left"/>
              <w:rPr>
                <w:lang w:val="en-US"/>
              </w:rPr>
            </w:pPr>
            <w:r w:rsidRPr="00604E5E">
              <w:t>ДВВП</w:t>
            </w:r>
            <w:proofErr w:type="spellStart"/>
            <w:r w:rsidRPr="00604E5E">
              <w:rPr>
                <w:i/>
                <w:vertAlign w:val="subscript"/>
                <w:lang w:val="en-US"/>
              </w:rPr>
              <w:t>i</w:t>
            </w:r>
            <w:proofErr w:type="spellEnd"/>
            <w:r w:rsidRPr="00604E5E">
              <w:rPr>
                <w:i/>
                <w:lang w:val="en-US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  <w:rPr>
                <w:lang w:val="en-US"/>
              </w:rPr>
            </w:pPr>
            <w:r w:rsidRPr="00604E5E">
              <w:rPr>
                <w:lang w:val="en-US"/>
              </w:rPr>
              <w:t>(1)</w:t>
            </w:r>
          </w:p>
        </w:tc>
      </w:tr>
      <w:tr w:rsidR="00C4670D" w:rsidRPr="00604E5E" w:rsidTr="00717E0F">
        <w:tc>
          <w:tcPr>
            <w:tcW w:w="1695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</w:pPr>
          </w:p>
        </w:tc>
        <w:tc>
          <w:tcPr>
            <w:tcW w:w="1411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604E5E">
              <w:rPr>
                <w:i/>
                <w:lang w:val="en-US"/>
              </w:rPr>
              <w:t>i</w:t>
            </w:r>
            <w:proofErr w:type="spellEnd"/>
            <w:r w:rsidRPr="00604E5E">
              <w:rPr>
                <w:lang w:val="en-US"/>
              </w:rPr>
              <w:t xml:space="preserve"> = 1</w:t>
            </w:r>
          </w:p>
        </w:tc>
        <w:tc>
          <w:tcPr>
            <w:tcW w:w="1889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97" w:type="dxa"/>
            <w:vAlign w:val="center"/>
          </w:tcPr>
          <w:p w:rsidR="00C4670D" w:rsidRPr="00604E5E" w:rsidRDefault="00C4670D" w:rsidP="00717E0F">
            <w:pPr>
              <w:ind w:firstLine="0"/>
              <w:jc w:val="center"/>
            </w:pPr>
          </w:p>
        </w:tc>
      </w:tr>
    </w:tbl>
    <w:p w:rsidR="00C4670D" w:rsidRPr="00604E5E" w:rsidRDefault="00C4670D" w:rsidP="00C4670D"/>
    <w:p w:rsidR="00C4670D" w:rsidRPr="00604E5E" w:rsidRDefault="00C4670D" w:rsidP="00C4670D">
      <w:pPr>
        <w:rPr>
          <w:sz w:val="24"/>
        </w:rPr>
      </w:pPr>
      <w:r w:rsidRPr="00604E5E">
        <w:rPr>
          <w:sz w:val="24"/>
        </w:rPr>
        <w:t>где ССЖ – «стоимость» среднестатистической жизни человека,</w:t>
      </w:r>
    </w:p>
    <w:p w:rsidR="00C4670D" w:rsidRPr="00604E5E" w:rsidRDefault="00C4670D" w:rsidP="00C4670D">
      <w:pPr>
        <w:rPr>
          <w:sz w:val="24"/>
        </w:rPr>
      </w:pPr>
      <w:r w:rsidRPr="00604E5E">
        <w:rPr>
          <w:sz w:val="24"/>
        </w:rPr>
        <w:t>ДВВП</w:t>
      </w:r>
      <w:proofErr w:type="spellStart"/>
      <w:r w:rsidRPr="00604E5E">
        <w:rPr>
          <w:i/>
          <w:sz w:val="24"/>
          <w:lang w:val="en-US"/>
        </w:rPr>
        <w:t>i</w:t>
      </w:r>
      <w:proofErr w:type="spellEnd"/>
      <w:r w:rsidRPr="00604E5E">
        <w:rPr>
          <w:sz w:val="24"/>
        </w:rPr>
        <w:t xml:space="preserve"> – размер душевого ВВП в </w:t>
      </w:r>
      <w:proofErr w:type="spellStart"/>
      <w:r w:rsidRPr="00604E5E">
        <w:rPr>
          <w:i/>
          <w:sz w:val="24"/>
          <w:lang w:val="en-US"/>
        </w:rPr>
        <w:t>i</w:t>
      </w:r>
      <w:proofErr w:type="spellEnd"/>
      <w:r w:rsidRPr="00604E5E">
        <w:rPr>
          <w:sz w:val="24"/>
        </w:rPr>
        <w:t>-</w:t>
      </w:r>
      <w:proofErr w:type="spellStart"/>
      <w:r w:rsidRPr="00604E5E">
        <w:rPr>
          <w:sz w:val="24"/>
        </w:rPr>
        <w:t>тый</w:t>
      </w:r>
      <w:proofErr w:type="spellEnd"/>
      <w:r w:rsidRPr="00604E5E">
        <w:rPr>
          <w:sz w:val="24"/>
        </w:rPr>
        <w:t xml:space="preserve"> год в постоянных ценах (с исключением инфляции),</w:t>
      </w:r>
    </w:p>
    <w:p w:rsidR="00C4670D" w:rsidRPr="00604E5E" w:rsidRDefault="00C4670D" w:rsidP="00C4670D">
      <w:pPr>
        <w:rPr>
          <w:sz w:val="24"/>
        </w:rPr>
      </w:pPr>
      <w:proofErr w:type="gramStart"/>
      <w:r w:rsidRPr="00604E5E">
        <w:rPr>
          <w:sz w:val="24"/>
          <w:lang w:val="en-US"/>
        </w:rPr>
        <w:t>n</w:t>
      </w:r>
      <w:r w:rsidRPr="00604E5E">
        <w:rPr>
          <w:sz w:val="24"/>
        </w:rPr>
        <w:t>-среднее</w:t>
      </w:r>
      <w:proofErr w:type="gramEnd"/>
      <w:r w:rsidRPr="00604E5E">
        <w:rPr>
          <w:sz w:val="24"/>
        </w:rPr>
        <w:t xml:space="preserve"> число лет жизни, «потерянной» в результате преждевременной гибели человека – разница между средним возрастом и средней продолжительностью жизни россиянина. </w:t>
      </w:r>
    </w:p>
    <w:p w:rsidR="00C4670D" w:rsidRPr="00F77FF2" w:rsidRDefault="00C4670D" w:rsidP="00C4670D">
      <w:pPr>
        <w:ind w:firstLine="709"/>
        <w:rPr>
          <w:sz w:val="24"/>
        </w:rPr>
      </w:pPr>
    </w:p>
    <w:p w:rsidR="00C4670D" w:rsidRDefault="00C4670D" w:rsidP="00C4670D">
      <w:pPr>
        <w:ind w:firstLine="709"/>
      </w:pPr>
      <w:r>
        <w:t xml:space="preserve">Поскольку различные модели оценки "стоимости" жизни среднестатистического человека имеют ряд серьезных недостатков, то в рамках авторской методики представляется оправданным использовать для более точной оценки «стоимости» жизни показатели, поддающиеся более точному определению: продолжительность жизни, размер потребления товаров и услуг, а также удовлетворенность населения своей жизнью. </w:t>
      </w:r>
    </w:p>
    <w:p w:rsidR="00C4670D" w:rsidRPr="00604E5E" w:rsidRDefault="00C4670D" w:rsidP="00C4670D">
      <w:pPr>
        <w:ind w:firstLine="709"/>
      </w:pPr>
      <w:r w:rsidRPr="00604E5E">
        <w:t xml:space="preserve">Для анализа взаимного влияния уровня благосостояния населения, средней ожидаемой продолжительности жизни и среднего уровня удовлетворенности населения своей жизнью была построена математическая модель, использующая соответствующие данные из различных источников, прежде всего - данные Всемирного банка относительно социально-экономических условий существования человека в различных странах мира, а также данные международного проекта </w:t>
      </w:r>
      <w:r w:rsidRPr="00604E5E">
        <w:rPr>
          <w:lang w:val="en-US"/>
        </w:rPr>
        <w:t>World</w:t>
      </w:r>
      <w:r w:rsidRPr="00604E5E">
        <w:t xml:space="preserve"> </w:t>
      </w:r>
      <w:r w:rsidRPr="00604E5E">
        <w:rPr>
          <w:lang w:val="en-US"/>
        </w:rPr>
        <w:t>Values</w:t>
      </w:r>
      <w:r w:rsidRPr="00604E5E">
        <w:t xml:space="preserve"> </w:t>
      </w:r>
      <w:r w:rsidRPr="00604E5E">
        <w:rPr>
          <w:lang w:val="en-US"/>
        </w:rPr>
        <w:t>Survey</w:t>
      </w:r>
      <w:r w:rsidRPr="00604E5E">
        <w:t xml:space="preserve">. Анализ зависимостей позволяет нам установить, что доля граждан, довольных своей жизнью, средняя ожидаемая продолжительность жизни, а также душевой размер потребления связаны между собой следующей зависимостью: </w:t>
      </w:r>
    </w:p>
    <w:p w:rsidR="00C4670D" w:rsidRPr="00604E5E" w:rsidRDefault="00C4670D" w:rsidP="00C4670D">
      <w:pPr>
        <w:ind w:firstLine="709"/>
      </w:pPr>
    </w:p>
    <w:p w:rsidR="00C4670D" w:rsidRDefault="00C4670D" w:rsidP="00C4670D">
      <w:pPr>
        <w:ind w:firstLine="709"/>
      </w:pPr>
      <w:r>
        <w:t>УЖ = 0,95 * П + 0,482 * СОПЖ + 23,664</w:t>
      </w:r>
      <w:r>
        <w:tab/>
      </w:r>
      <w:r>
        <w:tab/>
        <w:t>(2)</w:t>
      </w:r>
    </w:p>
    <w:p w:rsidR="00C4670D" w:rsidRDefault="00C4670D" w:rsidP="00C4670D">
      <w:pPr>
        <w:ind w:firstLine="709"/>
      </w:pPr>
    </w:p>
    <w:p w:rsidR="00C4670D" w:rsidRPr="00837DDB" w:rsidRDefault="00C4670D" w:rsidP="00C4670D">
      <w:pPr>
        <w:ind w:firstLine="709"/>
        <w:rPr>
          <w:sz w:val="24"/>
        </w:rPr>
      </w:pPr>
      <w:r w:rsidRPr="00837DDB">
        <w:rPr>
          <w:sz w:val="24"/>
        </w:rPr>
        <w:t>где УЖ – доля граждан страны, полностью или в о</w:t>
      </w:r>
      <w:r>
        <w:rPr>
          <w:sz w:val="24"/>
        </w:rPr>
        <w:t>сновном довольных своей жизнью;</w:t>
      </w:r>
    </w:p>
    <w:p w:rsidR="00C4670D" w:rsidRPr="00837DDB" w:rsidRDefault="00C4670D" w:rsidP="00C4670D">
      <w:pPr>
        <w:ind w:firstLine="709"/>
        <w:rPr>
          <w:sz w:val="24"/>
        </w:rPr>
      </w:pPr>
      <w:r w:rsidRPr="00837DDB">
        <w:rPr>
          <w:sz w:val="24"/>
        </w:rPr>
        <w:t>П – годовой размер среднедушевого потреблени</w:t>
      </w:r>
      <w:r>
        <w:rPr>
          <w:sz w:val="24"/>
        </w:rPr>
        <w:t>я, тыс. долл. в ценах 2011 года;</w:t>
      </w:r>
      <w:r w:rsidRPr="00837DDB">
        <w:rPr>
          <w:sz w:val="24"/>
        </w:rPr>
        <w:t xml:space="preserve"> </w:t>
      </w:r>
    </w:p>
    <w:p w:rsidR="00C4670D" w:rsidRPr="00837DDB" w:rsidRDefault="00C4670D" w:rsidP="00C4670D">
      <w:pPr>
        <w:ind w:firstLine="709"/>
        <w:rPr>
          <w:sz w:val="24"/>
        </w:rPr>
      </w:pPr>
      <w:r w:rsidRPr="00837DDB">
        <w:rPr>
          <w:sz w:val="24"/>
        </w:rPr>
        <w:t xml:space="preserve">СОПЖ – средняя ожидаемая продолжительность жизни, лет. </w:t>
      </w:r>
    </w:p>
    <w:sectPr w:rsidR="00C4670D" w:rsidRPr="00837DDB" w:rsidSect="0067229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F2C7C"/>
    <w:multiLevelType w:val="hybridMultilevel"/>
    <w:tmpl w:val="3EFE1316"/>
    <w:lvl w:ilvl="0" w:tplc="A208B40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3B"/>
    <w:rsid w:val="001763F0"/>
    <w:rsid w:val="0033693B"/>
    <w:rsid w:val="00783961"/>
    <w:rsid w:val="009A20E0"/>
    <w:rsid w:val="00BF698D"/>
    <w:rsid w:val="00C4670D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9064"/>
  <w15:chartTrackingRefBased/>
  <w15:docId w15:val="{6C7951AB-7DD0-4B51-A189-AC56990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670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basedOn w:val="a4"/>
    <w:uiPriority w:val="1"/>
    <w:qFormat/>
    <w:rsid w:val="00C4670D"/>
    <w:pPr>
      <w:numPr>
        <w:numId w:val="1"/>
      </w:numPr>
      <w:tabs>
        <w:tab w:val="num" w:pos="360"/>
      </w:tabs>
      <w:ind w:left="357" w:hanging="357"/>
    </w:pPr>
    <w:rPr>
      <w:rFonts w:eastAsiaTheme="minorHAnsi"/>
      <w:color w:val="000000"/>
      <w:spacing w:val="1"/>
      <w:lang w:eastAsia="en-US"/>
    </w:rPr>
  </w:style>
  <w:style w:type="table" w:customStyle="1" w:styleId="2">
    <w:name w:val="Сетка таблицы2"/>
    <w:basedOn w:val="a2"/>
    <w:next w:val="a5"/>
    <w:uiPriority w:val="59"/>
    <w:rsid w:val="00C467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0"/>
    <w:uiPriority w:val="34"/>
    <w:qFormat/>
    <w:rsid w:val="00C4670D"/>
    <w:pPr>
      <w:ind w:left="720"/>
      <w:contextualSpacing/>
    </w:pPr>
  </w:style>
  <w:style w:type="table" w:styleId="a5">
    <w:name w:val="Table Grid"/>
    <w:basedOn w:val="a2"/>
    <w:uiPriority w:val="39"/>
    <w:rsid w:val="00C4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46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5E460-193C-40DC-99BC-5E956CB07442}"/>
</file>

<file path=customXml/itemProps2.xml><?xml version="1.0" encoding="utf-8"?>
<ds:datastoreItem xmlns:ds="http://schemas.openxmlformats.org/officeDocument/2006/customXml" ds:itemID="{4ECAD823-EE16-48BC-8C1E-39D76B4448E2}"/>
</file>

<file path=customXml/itemProps3.xml><?xml version="1.0" encoding="utf-8"?>
<ds:datastoreItem xmlns:ds="http://schemas.openxmlformats.org/officeDocument/2006/customXml" ds:itemID="{733CD172-F387-46F5-97F8-FCE34378608F}"/>
</file>

<file path=customXml/itemProps4.xml><?xml version="1.0" encoding="utf-8"?>
<ds:datastoreItem xmlns:ds="http://schemas.openxmlformats.org/officeDocument/2006/customXml" ds:itemID="{075F27A7-90EC-43BE-AE1F-007377508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расчета справедливого возмещения «стоимости жизни» в связи с гибелью человека в чрезвычайных ситуациях</dc:title>
  <dc:subject/>
  <dc:creator>АЛЕКСЕЙ</dc:creator>
  <cp:keywords/>
  <dc:description/>
  <cp:lastModifiedBy>Белгородцев Виктор Петрович</cp:lastModifiedBy>
  <cp:revision>2</cp:revision>
  <dcterms:created xsi:type="dcterms:W3CDTF">2018-05-11T07:40:00Z</dcterms:created>
  <dcterms:modified xsi:type="dcterms:W3CDTF">2018-05-11T07:40:00Z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