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26C7C"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Результат интеллектуальной деятельности, реализованный</w:t>
      </w:r>
    </w:p>
    <w:p w14:paraId="4C08C6C2"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в виде секрета производства (ноу –хау)</w:t>
      </w:r>
    </w:p>
    <w:p w14:paraId="07BDE808" w14:textId="77777777" w:rsidR="00E304ED" w:rsidRPr="00E304ED" w:rsidRDefault="00E304ED" w:rsidP="00E304ED">
      <w:pPr>
        <w:jc w:val="center"/>
        <w:rPr>
          <w:rFonts w:ascii="Times New Roman" w:hAnsi="Times New Roman" w:cs="Times New Roman"/>
          <w:b/>
          <w:color w:val="000000"/>
          <w:sz w:val="28"/>
          <w:szCs w:val="28"/>
        </w:rPr>
      </w:pPr>
    </w:p>
    <w:p w14:paraId="1B7B2F6F" w14:textId="77777777" w:rsidR="0090446A" w:rsidRDefault="00E304ED" w:rsidP="00E304ED">
      <w:pPr>
        <w:jc w:val="center"/>
        <w:rPr>
          <w:rFonts w:ascii="Times New Roman" w:hAnsi="Times New Roman" w:cs="Times New Roman"/>
          <w:b/>
          <w:color w:val="000000"/>
          <w:sz w:val="28"/>
          <w:szCs w:val="28"/>
        </w:rPr>
      </w:pPr>
      <w:r w:rsidRPr="00A119ED">
        <w:rPr>
          <w:rFonts w:ascii="Times New Roman" w:hAnsi="Times New Roman" w:cs="Times New Roman"/>
          <w:b/>
          <w:color w:val="000000"/>
          <w:sz w:val="28"/>
          <w:szCs w:val="28"/>
        </w:rPr>
        <w:t xml:space="preserve">Методика оценки готовности компаний к внедрению технологий интеллектуальных (активно – адаптивных) сетей и связанных с ним технологий «Интернета энергии» (Internet </w:t>
      </w:r>
      <w:proofErr w:type="spellStart"/>
      <w:r w:rsidRPr="00A119ED">
        <w:rPr>
          <w:rFonts w:ascii="Times New Roman" w:hAnsi="Times New Roman" w:cs="Times New Roman"/>
          <w:b/>
          <w:color w:val="000000"/>
          <w:sz w:val="28"/>
          <w:szCs w:val="28"/>
        </w:rPr>
        <w:t>of</w:t>
      </w:r>
      <w:proofErr w:type="spellEnd"/>
      <w:r w:rsidRPr="00A119ED">
        <w:rPr>
          <w:rFonts w:ascii="Times New Roman" w:hAnsi="Times New Roman" w:cs="Times New Roman"/>
          <w:b/>
          <w:color w:val="000000"/>
          <w:sz w:val="28"/>
          <w:szCs w:val="28"/>
        </w:rPr>
        <w:t xml:space="preserve"> </w:t>
      </w:r>
      <w:proofErr w:type="spellStart"/>
      <w:r w:rsidRPr="00A119ED">
        <w:rPr>
          <w:rFonts w:ascii="Times New Roman" w:hAnsi="Times New Roman" w:cs="Times New Roman"/>
          <w:b/>
          <w:color w:val="000000"/>
          <w:sz w:val="28"/>
          <w:szCs w:val="28"/>
        </w:rPr>
        <w:t>Energy</w:t>
      </w:r>
      <w:proofErr w:type="spellEnd"/>
      <w:r w:rsidRPr="00A119ED">
        <w:rPr>
          <w:rFonts w:ascii="Times New Roman" w:hAnsi="Times New Roman" w:cs="Times New Roman"/>
          <w:b/>
          <w:color w:val="000000"/>
          <w:sz w:val="28"/>
          <w:szCs w:val="28"/>
        </w:rPr>
        <w:t>) на основе индекса зрелости</w:t>
      </w:r>
    </w:p>
    <w:p w14:paraId="5FD77576" w14:textId="77777777" w:rsidR="00E304ED" w:rsidRPr="00776EE9" w:rsidRDefault="00E304ED" w:rsidP="00E304ED">
      <w:pPr>
        <w:jc w:val="center"/>
        <w:rPr>
          <w:rFonts w:ascii="Times New Roman" w:hAnsi="Times New Roman" w:cs="Times New Roman"/>
          <w:color w:val="000000"/>
          <w:sz w:val="28"/>
          <w:szCs w:val="28"/>
        </w:rPr>
      </w:pPr>
    </w:p>
    <w:p w14:paraId="67C21C49"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разработан в рамках научно – исследовательской работы по теме:</w:t>
      </w:r>
    </w:p>
    <w:p w14:paraId="1CC4165B"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«РАЗВИТИЕ ИНТЕЛЛЕКТУАЛЬНЫХ ЭНЕРГЕТИЧЕСКИХ СЕТЕЙ В ЦЕЛЯХ ПОВЫШЕНИЯ ЭНЕРГЕТИЧЕСКОЙ ЭФФЕКТИВНОСТИ ПРОМЫШЛЕННЫХ КОМПАНИЙ»</w:t>
      </w:r>
    </w:p>
    <w:p w14:paraId="299A61E0"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выполненной по государственному заданию на 2018 год</w:t>
      </w:r>
    </w:p>
    <w:p w14:paraId="22A9866C" w14:textId="77777777" w:rsidR="00E304ED" w:rsidRPr="00776EE9" w:rsidRDefault="00E304ED" w:rsidP="00E304ED">
      <w:pPr>
        <w:jc w:val="center"/>
        <w:rPr>
          <w:rFonts w:ascii="Times New Roman" w:hAnsi="Times New Roman" w:cs="Times New Roman"/>
          <w:color w:val="000000"/>
          <w:sz w:val="28"/>
          <w:szCs w:val="28"/>
        </w:rPr>
      </w:pPr>
    </w:p>
    <w:p w14:paraId="5C96B1FA" w14:textId="77777777" w:rsidR="00E304ED" w:rsidRDefault="00E304ED" w:rsidP="00E304E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Сведения об авторах:</w:t>
      </w:r>
    </w:p>
    <w:p w14:paraId="1C36AE5F" w14:textId="77777777" w:rsidR="00E304ED" w:rsidRDefault="00E304ED" w:rsidP="00E304ED">
      <w:pPr>
        <w:jc w:val="center"/>
        <w:rPr>
          <w:rFonts w:ascii="Times New Roman" w:hAnsi="Times New Roman" w:cs="Times New Roman"/>
          <w:b/>
          <w:color w:val="000000"/>
          <w:sz w:val="28"/>
          <w:szCs w:val="28"/>
        </w:rPr>
      </w:pPr>
    </w:p>
    <w:p w14:paraId="78CC3139" w14:textId="77777777" w:rsidR="00E304ED" w:rsidRPr="00E304ED" w:rsidRDefault="00E304ED" w:rsidP="00E304ED">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149"/>
        <w:gridCol w:w="5190"/>
      </w:tblGrid>
      <w:tr w:rsidR="00E304ED" w14:paraId="4117B0A0" w14:textId="77777777" w:rsidTr="000843A8">
        <w:trPr>
          <w:trHeight w:val="3723"/>
        </w:trPr>
        <w:tc>
          <w:tcPr>
            <w:tcW w:w="4219" w:type="dxa"/>
          </w:tcPr>
          <w:p w14:paraId="4C89592F" w14:textId="66E59B39" w:rsidR="00E304ED" w:rsidRDefault="00074369" w:rsidP="00E304ED">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1180CFDF" wp14:editId="60511F0C">
                  <wp:extent cx="1638000" cy="2457000"/>
                  <wp:effectExtent l="0" t="0" r="635" b="635"/>
                  <wp:docPr id="2" name="Рисунок 2" descr="Изображение выглядит как человек, внутренний, стол, шкафч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trachuk.png"/>
                          <pic:cNvPicPr/>
                        </pic:nvPicPr>
                        <pic:blipFill>
                          <a:blip r:embed="rId5"/>
                          <a:stretch>
                            <a:fillRect/>
                          </a:stretch>
                        </pic:blipFill>
                        <pic:spPr>
                          <a:xfrm>
                            <a:off x="0" y="0"/>
                            <a:ext cx="1638000" cy="2457000"/>
                          </a:xfrm>
                          <a:prstGeom prst="rect">
                            <a:avLst/>
                          </a:prstGeom>
                        </pic:spPr>
                      </pic:pic>
                    </a:graphicData>
                  </a:graphic>
                </wp:inline>
              </w:drawing>
            </w:r>
          </w:p>
        </w:tc>
        <w:tc>
          <w:tcPr>
            <w:tcW w:w="5346" w:type="dxa"/>
          </w:tcPr>
          <w:p w14:paraId="4C2F351E" w14:textId="77777777" w:rsidR="00E304ED" w:rsidRDefault="00E304ED" w:rsidP="00E304ED">
            <w:pPr>
              <w:jc w:val="center"/>
              <w:rPr>
                <w:rFonts w:ascii="Times New Roman" w:hAnsi="Times New Roman" w:cs="Times New Roman"/>
                <w:b/>
                <w:sz w:val="28"/>
                <w:szCs w:val="28"/>
              </w:rPr>
            </w:pPr>
            <w:r>
              <w:rPr>
                <w:rFonts w:ascii="Times New Roman" w:hAnsi="Times New Roman" w:cs="Times New Roman"/>
                <w:b/>
                <w:sz w:val="28"/>
                <w:szCs w:val="28"/>
              </w:rPr>
              <w:t>Трачук Аркадий Владимирович,</w:t>
            </w:r>
          </w:p>
          <w:p w14:paraId="4A159FF5" w14:textId="77777777" w:rsidR="00E304ED" w:rsidRDefault="00E304ED" w:rsidP="00E304ED">
            <w:pPr>
              <w:jc w:val="center"/>
              <w:rPr>
                <w:rFonts w:ascii="Times New Roman" w:hAnsi="Times New Roman" w:cs="Times New Roman"/>
                <w:b/>
                <w:sz w:val="28"/>
                <w:szCs w:val="28"/>
              </w:rPr>
            </w:pPr>
            <w:r>
              <w:rPr>
                <w:rFonts w:ascii="Times New Roman" w:hAnsi="Times New Roman" w:cs="Times New Roman"/>
                <w:b/>
                <w:sz w:val="28"/>
                <w:szCs w:val="28"/>
              </w:rPr>
              <w:t>Д.э.н., профессор, руководитель Департамента менеджмента</w:t>
            </w:r>
          </w:p>
          <w:p w14:paraId="3AA64E99" w14:textId="77777777" w:rsidR="00E304ED" w:rsidRDefault="00E304ED" w:rsidP="00E304ED">
            <w:pPr>
              <w:jc w:val="center"/>
              <w:rPr>
                <w:rFonts w:ascii="Times New Roman" w:hAnsi="Times New Roman" w:cs="Times New Roman"/>
                <w:b/>
                <w:sz w:val="28"/>
                <w:szCs w:val="28"/>
              </w:rPr>
            </w:pPr>
          </w:p>
          <w:p w14:paraId="19222032" w14:textId="77777777" w:rsidR="004246D1" w:rsidRPr="004246D1" w:rsidRDefault="00E304ED" w:rsidP="004246D1">
            <w:pPr>
              <w:jc w:val="center"/>
              <w:rPr>
                <w:rFonts w:ascii="Times New Roman" w:hAnsi="Times New Roman" w:cs="Times New Roman"/>
                <w:b/>
                <w:sz w:val="28"/>
                <w:szCs w:val="28"/>
              </w:rPr>
            </w:pPr>
            <w:r>
              <w:rPr>
                <w:rFonts w:ascii="Times New Roman" w:hAnsi="Times New Roman" w:cs="Times New Roman"/>
                <w:b/>
                <w:sz w:val="28"/>
                <w:szCs w:val="28"/>
              </w:rPr>
              <w:t xml:space="preserve">Контакты: </w:t>
            </w:r>
            <w:r w:rsidR="004246D1" w:rsidRPr="004246D1">
              <w:rPr>
                <w:rFonts w:ascii="Times New Roman" w:hAnsi="Times New Roman" w:cs="Times New Roman"/>
                <w:b/>
                <w:sz w:val="28"/>
                <w:szCs w:val="28"/>
              </w:rPr>
              <w:t>atrachuk@fa.ru</w:t>
            </w:r>
          </w:p>
          <w:p w14:paraId="4D39E51F" w14:textId="77777777" w:rsidR="00E304ED" w:rsidRDefault="00E304ED" w:rsidP="00E304ED">
            <w:pPr>
              <w:jc w:val="center"/>
              <w:rPr>
                <w:rFonts w:ascii="Times New Roman" w:hAnsi="Times New Roman" w:cs="Times New Roman"/>
                <w:b/>
                <w:sz w:val="28"/>
                <w:szCs w:val="28"/>
              </w:rPr>
            </w:pPr>
          </w:p>
        </w:tc>
      </w:tr>
      <w:tr w:rsidR="00E304ED" w14:paraId="44AA3FDF" w14:textId="77777777" w:rsidTr="000843A8">
        <w:tc>
          <w:tcPr>
            <w:tcW w:w="4219" w:type="dxa"/>
          </w:tcPr>
          <w:p w14:paraId="44DFC636" w14:textId="45CC3F94" w:rsidR="00E304ED" w:rsidRDefault="00074369" w:rsidP="00E304ED">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47AFFC83" wp14:editId="38E6B1BE">
                  <wp:extent cx="1638000" cy="2184000"/>
                  <wp:effectExtent l="0" t="0" r="635" b="6985"/>
                  <wp:docPr id="4" name="Рисунок 4" descr="Изображение выглядит как человек, стена, женщина, внутрен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linder.png"/>
                          <pic:cNvPicPr/>
                        </pic:nvPicPr>
                        <pic:blipFill>
                          <a:blip r:embed="rId6"/>
                          <a:stretch>
                            <a:fillRect/>
                          </a:stretch>
                        </pic:blipFill>
                        <pic:spPr>
                          <a:xfrm>
                            <a:off x="0" y="0"/>
                            <a:ext cx="1638000" cy="2184000"/>
                          </a:xfrm>
                          <a:prstGeom prst="rect">
                            <a:avLst/>
                          </a:prstGeom>
                        </pic:spPr>
                      </pic:pic>
                    </a:graphicData>
                  </a:graphic>
                </wp:inline>
              </w:drawing>
            </w:r>
          </w:p>
        </w:tc>
        <w:tc>
          <w:tcPr>
            <w:tcW w:w="5346" w:type="dxa"/>
          </w:tcPr>
          <w:p w14:paraId="57C3E885" w14:textId="77777777" w:rsidR="00E304ED" w:rsidRDefault="00E304ED" w:rsidP="00E304ED">
            <w:pPr>
              <w:jc w:val="center"/>
              <w:rPr>
                <w:rFonts w:ascii="Times New Roman" w:hAnsi="Times New Roman" w:cs="Times New Roman"/>
                <w:b/>
                <w:sz w:val="28"/>
                <w:szCs w:val="28"/>
              </w:rPr>
            </w:pPr>
            <w:r>
              <w:rPr>
                <w:rFonts w:ascii="Times New Roman" w:hAnsi="Times New Roman" w:cs="Times New Roman"/>
                <w:b/>
                <w:sz w:val="28"/>
                <w:szCs w:val="28"/>
              </w:rPr>
              <w:t>Линдер Наталия Вячеславовна</w:t>
            </w:r>
          </w:p>
          <w:p w14:paraId="11BC2D88" w14:textId="77777777" w:rsidR="00E304ED" w:rsidRDefault="00E304ED" w:rsidP="0070494F">
            <w:pPr>
              <w:jc w:val="center"/>
              <w:rPr>
                <w:rFonts w:ascii="Times New Roman" w:hAnsi="Times New Roman" w:cs="Times New Roman"/>
                <w:b/>
                <w:sz w:val="28"/>
                <w:szCs w:val="28"/>
              </w:rPr>
            </w:pPr>
            <w:r>
              <w:rPr>
                <w:rFonts w:ascii="Times New Roman" w:hAnsi="Times New Roman" w:cs="Times New Roman"/>
                <w:b/>
                <w:sz w:val="28"/>
                <w:szCs w:val="28"/>
              </w:rPr>
              <w:t xml:space="preserve">К.э.н., профессор, </w:t>
            </w:r>
            <w:r w:rsidR="0070494F">
              <w:rPr>
                <w:rFonts w:ascii="Times New Roman" w:hAnsi="Times New Roman" w:cs="Times New Roman"/>
                <w:b/>
                <w:sz w:val="28"/>
                <w:szCs w:val="28"/>
              </w:rPr>
              <w:t xml:space="preserve">первый заместитель руководителя </w:t>
            </w:r>
            <w:r>
              <w:rPr>
                <w:rFonts w:ascii="Times New Roman" w:hAnsi="Times New Roman" w:cs="Times New Roman"/>
                <w:b/>
                <w:sz w:val="28"/>
                <w:szCs w:val="28"/>
              </w:rPr>
              <w:t>Департамента менеджмента</w:t>
            </w:r>
          </w:p>
          <w:p w14:paraId="7B2B6D81" w14:textId="77777777" w:rsidR="00784FC9" w:rsidRDefault="00784FC9" w:rsidP="0070494F">
            <w:pPr>
              <w:jc w:val="center"/>
              <w:rPr>
                <w:rFonts w:ascii="Times New Roman" w:hAnsi="Times New Roman" w:cs="Times New Roman"/>
                <w:b/>
                <w:sz w:val="28"/>
                <w:szCs w:val="28"/>
              </w:rPr>
            </w:pPr>
          </w:p>
          <w:p w14:paraId="4C14E96B" w14:textId="77777777" w:rsidR="004246D1" w:rsidRPr="004246D1" w:rsidRDefault="00784FC9" w:rsidP="004246D1">
            <w:pPr>
              <w:jc w:val="center"/>
              <w:rPr>
                <w:rFonts w:ascii="Times New Roman" w:hAnsi="Times New Roman" w:cs="Times New Roman"/>
                <w:b/>
                <w:sz w:val="28"/>
                <w:szCs w:val="28"/>
              </w:rPr>
            </w:pPr>
            <w:r>
              <w:rPr>
                <w:rFonts w:ascii="Times New Roman" w:hAnsi="Times New Roman" w:cs="Times New Roman"/>
                <w:b/>
                <w:sz w:val="28"/>
                <w:szCs w:val="28"/>
              </w:rPr>
              <w:t>Контакты</w:t>
            </w:r>
            <w:r w:rsidR="004246D1">
              <w:rPr>
                <w:rFonts w:ascii="Times New Roman" w:hAnsi="Times New Roman" w:cs="Times New Roman"/>
                <w:b/>
                <w:sz w:val="28"/>
                <w:szCs w:val="28"/>
              </w:rPr>
              <w:t xml:space="preserve">: </w:t>
            </w:r>
            <w:r w:rsidR="004246D1" w:rsidRPr="004246D1">
              <w:rPr>
                <w:rFonts w:ascii="Times New Roman" w:hAnsi="Times New Roman" w:cs="Times New Roman"/>
                <w:b/>
                <w:sz w:val="28"/>
                <w:szCs w:val="28"/>
              </w:rPr>
              <w:t>nvlinder@fa.ru</w:t>
            </w:r>
          </w:p>
          <w:p w14:paraId="594B9BF1" w14:textId="77777777" w:rsidR="00784FC9" w:rsidRDefault="00784FC9" w:rsidP="0070494F">
            <w:pPr>
              <w:jc w:val="center"/>
              <w:rPr>
                <w:rFonts w:ascii="Times New Roman" w:hAnsi="Times New Roman" w:cs="Times New Roman"/>
                <w:b/>
                <w:sz w:val="28"/>
                <w:szCs w:val="28"/>
              </w:rPr>
            </w:pPr>
          </w:p>
        </w:tc>
      </w:tr>
    </w:tbl>
    <w:p w14:paraId="52612740" w14:textId="77777777" w:rsidR="00E304ED" w:rsidRDefault="00E304ED" w:rsidP="00E304ED">
      <w:pPr>
        <w:jc w:val="center"/>
        <w:rPr>
          <w:rFonts w:ascii="Times New Roman" w:hAnsi="Times New Roman" w:cs="Times New Roman"/>
          <w:b/>
          <w:sz w:val="28"/>
          <w:szCs w:val="28"/>
        </w:rPr>
      </w:pPr>
    </w:p>
    <w:p w14:paraId="742BA8E6" w14:textId="77777777" w:rsidR="000843A8" w:rsidRDefault="000843A8" w:rsidP="00E304ED">
      <w:pPr>
        <w:jc w:val="center"/>
        <w:rPr>
          <w:rFonts w:ascii="Times New Roman" w:hAnsi="Times New Roman" w:cs="Times New Roman"/>
          <w:b/>
          <w:sz w:val="28"/>
          <w:szCs w:val="28"/>
        </w:rPr>
      </w:pPr>
    </w:p>
    <w:p w14:paraId="49FB79EA" w14:textId="77777777" w:rsidR="000843A8" w:rsidRDefault="000843A8" w:rsidP="00E304ED">
      <w:pPr>
        <w:jc w:val="center"/>
        <w:rPr>
          <w:rFonts w:ascii="Times New Roman" w:hAnsi="Times New Roman" w:cs="Times New Roman"/>
          <w:b/>
          <w:sz w:val="28"/>
          <w:szCs w:val="28"/>
        </w:rPr>
      </w:pPr>
    </w:p>
    <w:p w14:paraId="4F80D14F" w14:textId="77777777" w:rsidR="000843A8" w:rsidRDefault="000843A8" w:rsidP="00E304ED">
      <w:pPr>
        <w:jc w:val="center"/>
        <w:rPr>
          <w:rFonts w:ascii="Times New Roman" w:hAnsi="Times New Roman" w:cs="Times New Roman"/>
          <w:b/>
          <w:sz w:val="28"/>
          <w:szCs w:val="28"/>
        </w:rPr>
      </w:pPr>
    </w:p>
    <w:p w14:paraId="1BEAB298" w14:textId="77777777" w:rsidR="000843A8" w:rsidRDefault="000843A8" w:rsidP="00E304ED">
      <w:pPr>
        <w:jc w:val="center"/>
        <w:rPr>
          <w:rFonts w:ascii="Times New Roman" w:hAnsi="Times New Roman" w:cs="Times New Roman"/>
          <w:b/>
          <w:sz w:val="28"/>
          <w:szCs w:val="28"/>
        </w:rPr>
      </w:pPr>
    </w:p>
    <w:p w14:paraId="15D24478" w14:textId="26048188" w:rsidR="00EB26EF" w:rsidRDefault="000843A8" w:rsidP="00776EE9">
      <w:pPr>
        <w:jc w:val="center"/>
        <w:rPr>
          <w:rFonts w:ascii="Times New Roman" w:hAnsi="Times New Roman" w:cs="Times New Roman"/>
          <w:b/>
          <w:sz w:val="28"/>
          <w:szCs w:val="28"/>
        </w:rPr>
      </w:pPr>
      <w:r>
        <w:rPr>
          <w:rFonts w:ascii="Times New Roman" w:hAnsi="Times New Roman" w:cs="Times New Roman"/>
          <w:b/>
          <w:sz w:val="28"/>
          <w:szCs w:val="28"/>
        </w:rPr>
        <w:lastRenderedPageBreak/>
        <w:t>РЕКЛАМНО</w:t>
      </w:r>
      <w:r w:rsidR="00A32540">
        <w:rPr>
          <w:rFonts w:ascii="Times New Roman" w:hAnsi="Times New Roman" w:cs="Times New Roman"/>
          <w:b/>
          <w:sz w:val="28"/>
          <w:szCs w:val="28"/>
        </w:rPr>
        <w:t>-</w:t>
      </w:r>
      <w:r>
        <w:rPr>
          <w:rFonts w:ascii="Times New Roman" w:hAnsi="Times New Roman" w:cs="Times New Roman"/>
          <w:b/>
          <w:sz w:val="28"/>
          <w:szCs w:val="28"/>
        </w:rPr>
        <w:t>ТЕХНИЧЕСКОЕ ОПИСАНИЕ</w:t>
      </w:r>
    </w:p>
    <w:p w14:paraId="3E995B81" w14:textId="77777777" w:rsidR="00EB26EF" w:rsidRDefault="00EB26EF" w:rsidP="00E304ED">
      <w:pPr>
        <w:jc w:val="center"/>
        <w:rPr>
          <w:rFonts w:ascii="Times New Roman" w:hAnsi="Times New Roman" w:cs="Times New Roman"/>
          <w:b/>
          <w:sz w:val="28"/>
          <w:szCs w:val="28"/>
        </w:rPr>
      </w:pPr>
    </w:p>
    <w:p w14:paraId="1C582846" w14:textId="77777777" w:rsidR="00776EE9" w:rsidRDefault="00776EE9" w:rsidP="00776EE9">
      <w:pPr>
        <w:spacing w:line="360" w:lineRule="auto"/>
        <w:ind w:firstLine="708"/>
        <w:jc w:val="both"/>
        <w:rPr>
          <w:rFonts w:ascii="Times New Roman" w:hAnsi="Times New Roman" w:cs="Times New Roman"/>
          <w:color w:val="000000"/>
          <w:sz w:val="28"/>
          <w:szCs w:val="28"/>
        </w:rPr>
      </w:pPr>
      <w:r w:rsidRPr="00776EE9">
        <w:rPr>
          <w:rFonts w:ascii="Times New Roman" w:hAnsi="Times New Roman" w:cs="Times New Roman"/>
          <w:sz w:val="28"/>
          <w:szCs w:val="28"/>
        </w:rPr>
        <w:t xml:space="preserve">РИД относится к качественной оценке готовности компаний </w:t>
      </w:r>
      <w:r w:rsidRPr="00776EE9">
        <w:rPr>
          <w:rFonts w:ascii="Times New Roman" w:hAnsi="Times New Roman" w:cs="Times New Roman"/>
          <w:color w:val="000000"/>
          <w:sz w:val="28"/>
          <w:szCs w:val="28"/>
        </w:rPr>
        <w:t xml:space="preserve">к внедрению технологий интеллектуальных (активно – адаптивных) сетей и связанных с ним технологий «Интернета энергии» (Internet </w:t>
      </w:r>
      <w:proofErr w:type="spellStart"/>
      <w:r w:rsidRPr="00776EE9">
        <w:rPr>
          <w:rFonts w:ascii="Times New Roman" w:hAnsi="Times New Roman" w:cs="Times New Roman"/>
          <w:color w:val="000000"/>
          <w:sz w:val="28"/>
          <w:szCs w:val="28"/>
        </w:rPr>
        <w:t>of</w:t>
      </w:r>
      <w:proofErr w:type="spellEnd"/>
      <w:r w:rsidRPr="00776EE9">
        <w:rPr>
          <w:rFonts w:ascii="Times New Roman" w:hAnsi="Times New Roman" w:cs="Times New Roman"/>
          <w:color w:val="000000"/>
          <w:sz w:val="28"/>
          <w:szCs w:val="28"/>
        </w:rPr>
        <w:t xml:space="preserve"> </w:t>
      </w:r>
      <w:proofErr w:type="spellStart"/>
      <w:r w:rsidRPr="00776EE9">
        <w:rPr>
          <w:rFonts w:ascii="Times New Roman" w:hAnsi="Times New Roman" w:cs="Times New Roman"/>
          <w:color w:val="000000"/>
          <w:sz w:val="28"/>
          <w:szCs w:val="28"/>
        </w:rPr>
        <w:t>Energy</w:t>
      </w:r>
      <w:proofErr w:type="spellEnd"/>
      <w:r w:rsidRPr="00776EE9">
        <w:rPr>
          <w:rFonts w:ascii="Times New Roman" w:hAnsi="Times New Roman" w:cs="Times New Roman"/>
          <w:color w:val="000000"/>
          <w:sz w:val="28"/>
          <w:szCs w:val="28"/>
        </w:rPr>
        <w:t>) на основе индекса зрелости</w:t>
      </w:r>
      <w:r>
        <w:rPr>
          <w:rFonts w:ascii="Times New Roman" w:hAnsi="Times New Roman" w:cs="Times New Roman"/>
          <w:color w:val="000000"/>
          <w:sz w:val="28"/>
          <w:szCs w:val="28"/>
        </w:rPr>
        <w:t>.</w:t>
      </w:r>
    </w:p>
    <w:p w14:paraId="7D0DD90C" w14:textId="77777777" w:rsidR="00776EE9" w:rsidRDefault="00776EE9" w:rsidP="00776EE9">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Для оце</w:t>
      </w:r>
      <w:bookmarkStart w:id="0" w:name="_GoBack"/>
      <w:bookmarkEnd w:id="0"/>
      <w:r>
        <w:rPr>
          <w:rFonts w:ascii="Times New Roman" w:hAnsi="Times New Roman" w:cs="Times New Roman"/>
          <w:color w:val="000000"/>
          <w:sz w:val="28"/>
          <w:szCs w:val="28"/>
        </w:rPr>
        <w:t>нки разработан Индекс зрелости, включающий оценку показателей:</w:t>
      </w:r>
    </w:p>
    <w:p w14:paraId="174C967A" w14:textId="77777777" w:rsidR="00776EE9" w:rsidRPr="00776EE9" w:rsidRDefault="00776EE9" w:rsidP="00776EE9">
      <w:pPr>
        <w:pStyle w:val="a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возможность энергокомпании </w:t>
      </w:r>
      <w:r w:rsidRPr="00776EE9">
        <w:rPr>
          <w:rFonts w:ascii="Times New Roman" w:hAnsi="Times New Roman" w:cs="Times New Roman"/>
          <w:sz w:val="28"/>
          <w:szCs w:val="28"/>
        </w:rPr>
        <w:t>маневрировани</w:t>
      </w:r>
      <w:r>
        <w:rPr>
          <w:rFonts w:ascii="Times New Roman" w:hAnsi="Times New Roman" w:cs="Times New Roman"/>
          <w:sz w:val="28"/>
          <w:szCs w:val="28"/>
        </w:rPr>
        <w:t>я</w:t>
      </w:r>
      <w:r w:rsidRPr="00776EE9">
        <w:rPr>
          <w:rFonts w:ascii="Times New Roman" w:hAnsi="Times New Roman" w:cs="Times New Roman"/>
          <w:sz w:val="28"/>
          <w:szCs w:val="28"/>
        </w:rPr>
        <w:t xml:space="preserve"> энергопотреблением;</w:t>
      </w:r>
    </w:p>
    <w:p w14:paraId="70357632" w14:textId="77777777" w:rsidR="00776EE9" w:rsidRPr="00776EE9" w:rsidRDefault="00776EE9" w:rsidP="00776EE9">
      <w:pPr>
        <w:pStyle w:val="a6"/>
        <w:numPr>
          <w:ilvl w:val="0"/>
          <w:numId w:val="4"/>
        </w:num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возможность энергокомпании с</w:t>
      </w:r>
      <w:r w:rsidRPr="00EB26EF">
        <w:rPr>
          <w:rFonts w:ascii="Times New Roman" w:hAnsi="Times New Roman" w:cs="Times New Roman"/>
          <w:sz w:val="28"/>
          <w:szCs w:val="28"/>
        </w:rPr>
        <w:t>нижени</w:t>
      </w:r>
      <w:r>
        <w:rPr>
          <w:rFonts w:ascii="Times New Roman" w:hAnsi="Times New Roman" w:cs="Times New Roman"/>
          <w:sz w:val="28"/>
          <w:szCs w:val="28"/>
        </w:rPr>
        <w:t>я</w:t>
      </w:r>
      <w:r w:rsidRPr="00EB26EF">
        <w:rPr>
          <w:rFonts w:ascii="Times New Roman" w:hAnsi="Times New Roman" w:cs="Times New Roman"/>
          <w:sz w:val="28"/>
          <w:szCs w:val="28"/>
        </w:rPr>
        <w:t xml:space="preserve"> или перенесени</w:t>
      </w:r>
      <w:r>
        <w:rPr>
          <w:rFonts w:ascii="Times New Roman" w:hAnsi="Times New Roman" w:cs="Times New Roman"/>
          <w:sz w:val="28"/>
          <w:szCs w:val="28"/>
        </w:rPr>
        <w:t>я</w:t>
      </w:r>
      <w:r w:rsidRPr="00EB26EF">
        <w:rPr>
          <w:rFonts w:ascii="Times New Roman" w:hAnsi="Times New Roman" w:cs="Times New Roman"/>
          <w:sz w:val="28"/>
          <w:szCs w:val="28"/>
        </w:rPr>
        <w:t xml:space="preserve"> нагрузки во времени</w:t>
      </w:r>
      <w:r>
        <w:rPr>
          <w:rFonts w:ascii="Times New Roman" w:hAnsi="Times New Roman" w:cs="Times New Roman"/>
          <w:sz w:val="28"/>
          <w:szCs w:val="28"/>
        </w:rPr>
        <w:t>;</w:t>
      </w:r>
    </w:p>
    <w:p w14:paraId="4E045EFD" w14:textId="77777777" w:rsidR="00776EE9" w:rsidRPr="00776EE9" w:rsidRDefault="00776EE9" w:rsidP="00776EE9">
      <w:pPr>
        <w:pStyle w:val="a6"/>
        <w:numPr>
          <w:ilvl w:val="0"/>
          <w:numId w:val="4"/>
        </w:num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возможность у</w:t>
      </w:r>
      <w:r w:rsidRPr="00776EE9">
        <w:rPr>
          <w:rFonts w:ascii="Times New Roman" w:hAnsi="Times New Roman" w:cs="Times New Roman"/>
          <w:sz w:val="28"/>
          <w:szCs w:val="28"/>
        </w:rPr>
        <w:t>правлени</w:t>
      </w:r>
      <w:r>
        <w:rPr>
          <w:rFonts w:ascii="Times New Roman" w:hAnsi="Times New Roman" w:cs="Times New Roman"/>
          <w:sz w:val="28"/>
          <w:szCs w:val="28"/>
        </w:rPr>
        <w:t>я</w:t>
      </w:r>
      <w:r w:rsidRPr="00776EE9">
        <w:rPr>
          <w:rFonts w:ascii="Times New Roman" w:hAnsi="Times New Roman" w:cs="Times New Roman"/>
          <w:sz w:val="28"/>
          <w:szCs w:val="28"/>
        </w:rPr>
        <w:t xml:space="preserve"> собственной генерацией</w:t>
      </w:r>
      <w:r>
        <w:rPr>
          <w:rFonts w:ascii="Times New Roman" w:hAnsi="Times New Roman" w:cs="Times New Roman"/>
          <w:sz w:val="28"/>
          <w:szCs w:val="28"/>
        </w:rPr>
        <w:t xml:space="preserve"> на основе </w:t>
      </w:r>
      <w:r w:rsidRPr="00776EE9">
        <w:rPr>
          <w:rFonts w:ascii="Times New Roman" w:hAnsi="Times New Roman" w:cs="Times New Roman"/>
          <w:sz w:val="28"/>
          <w:szCs w:val="28"/>
        </w:rPr>
        <w:t>определение объема с</w:t>
      </w:r>
      <w:r>
        <w:rPr>
          <w:rFonts w:ascii="Times New Roman" w:hAnsi="Times New Roman" w:cs="Times New Roman"/>
          <w:sz w:val="28"/>
          <w:szCs w:val="28"/>
        </w:rPr>
        <w:t xml:space="preserve">обственного потребления от нее и </w:t>
      </w:r>
      <w:r w:rsidRPr="00776EE9">
        <w:rPr>
          <w:rFonts w:ascii="Times New Roman" w:hAnsi="Times New Roman" w:cs="Times New Roman"/>
          <w:sz w:val="28"/>
          <w:szCs w:val="28"/>
        </w:rPr>
        <w:t>определение объема электроэнергии, поставляемого на рынок</w:t>
      </w:r>
      <w:r>
        <w:rPr>
          <w:rFonts w:ascii="Times New Roman" w:hAnsi="Times New Roman" w:cs="Times New Roman"/>
          <w:sz w:val="28"/>
          <w:szCs w:val="28"/>
        </w:rPr>
        <w:t>;</w:t>
      </w:r>
    </w:p>
    <w:p w14:paraId="18BCEF72" w14:textId="77777777" w:rsidR="00776EE9" w:rsidRPr="00776EE9" w:rsidRDefault="00776EE9" w:rsidP="00776EE9">
      <w:pPr>
        <w:pStyle w:val="a6"/>
        <w:numPr>
          <w:ilvl w:val="0"/>
          <w:numId w:val="4"/>
        </w:num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возможность энергокомпании у</w:t>
      </w:r>
      <w:r w:rsidRPr="00776EE9">
        <w:rPr>
          <w:rFonts w:ascii="Times New Roman" w:hAnsi="Times New Roman" w:cs="Times New Roman"/>
          <w:sz w:val="28"/>
          <w:szCs w:val="28"/>
        </w:rPr>
        <w:t>правлени</w:t>
      </w:r>
      <w:r>
        <w:rPr>
          <w:rFonts w:ascii="Times New Roman" w:hAnsi="Times New Roman" w:cs="Times New Roman"/>
          <w:sz w:val="28"/>
          <w:szCs w:val="28"/>
        </w:rPr>
        <w:t>я</w:t>
      </w:r>
      <w:r w:rsidRPr="00776EE9">
        <w:rPr>
          <w:rFonts w:ascii="Times New Roman" w:hAnsi="Times New Roman" w:cs="Times New Roman"/>
          <w:sz w:val="28"/>
          <w:szCs w:val="28"/>
        </w:rPr>
        <w:t xml:space="preserve"> режимом накопления электроэнергии</w:t>
      </w:r>
      <w:r>
        <w:rPr>
          <w:rFonts w:ascii="Times New Roman" w:hAnsi="Times New Roman" w:cs="Times New Roman"/>
          <w:sz w:val="28"/>
          <w:szCs w:val="28"/>
        </w:rPr>
        <w:t>, а именно:</w:t>
      </w:r>
    </w:p>
    <w:p w14:paraId="233AB298" w14:textId="77777777" w:rsidR="00776EE9" w:rsidRPr="00EB26EF" w:rsidRDefault="00776EE9" w:rsidP="00776EE9">
      <w:pPr>
        <w:numPr>
          <w:ilvl w:val="0"/>
          <w:numId w:val="4"/>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накопление электроэнергии;</w:t>
      </w:r>
    </w:p>
    <w:p w14:paraId="1DE24451" w14:textId="77777777" w:rsidR="00776EE9" w:rsidRPr="00EB26EF" w:rsidRDefault="00776EE9" w:rsidP="00776EE9">
      <w:pPr>
        <w:numPr>
          <w:ilvl w:val="0"/>
          <w:numId w:val="4"/>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потребление накопленной электроэнергии;</w:t>
      </w:r>
    </w:p>
    <w:p w14:paraId="0C639BC4" w14:textId="77777777" w:rsidR="00776EE9" w:rsidRPr="00776EE9" w:rsidRDefault="00776EE9" w:rsidP="00776EE9">
      <w:pPr>
        <w:pStyle w:val="a6"/>
        <w:numPr>
          <w:ilvl w:val="0"/>
          <w:numId w:val="4"/>
        </w:numPr>
        <w:spacing w:line="360" w:lineRule="auto"/>
        <w:jc w:val="both"/>
        <w:rPr>
          <w:rFonts w:ascii="Times New Roman" w:hAnsi="Times New Roman" w:cs="Times New Roman"/>
          <w:color w:val="000000"/>
          <w:sz w:val="28"/>
          <w:szCs w:val="28"/>
        </w:rPr>
      </w:pPr>
      <w:r w:rsidRPr="00EB26EF">
        <w:rPr>
          <w:rFonts w:ascii="Times New Roman" w:hAnsi="Times New Roman" w:cs="Times New Roman"/>
          <w:sz w:val="28"/>
          <w:szCs w:val="28"/>
        </w:rPr>
        <w:t>продажа накопленной электроэнергии на рынок</w:t>
      </w:r>
      <w:r>
        <w:rPr>
          <w:rFonts w:ascii="Times New Roman" w:hAnsi="Times New Roman" w:cs="Times New Roman"/>
          <w:sz w:val="28"/>
          <w:szCs w:val="28"/>
        </w:rPr>
        <w:t>.</w:t>
      </w:r>
    </w:p>
    <w:p w14:paraId="645B547D" w14:textId="77777777" w:rsidR="00B106F0" w:rsidRPr="00B106F0" w:rsidRDefault="00B106F0" w:rsidP="00B106F0">
      <w:pPr>
        <w:tabs>
          <w:tab w:val="left" w:pos="980"/>
        </w:tabs>
        <w:spacing w:line="360" w:lineRule="auto"/>
        <w:jc w:val="both"/>
        <w:rPr>
          <w:rFonts w:ascii="Times New Roman" w:hAnsi="Times New Roman" w:cs="Times New Roman"/>
          <w:bCs/>
          <w:sz w:val="28"/>
          <w:szCs w:val="28"/>
        </w:rPr>
      </w:pPr>
      <w:r>
        <w:rPr>
          <w:rFonts w:ascii="Times New Roman" w:hAnsi="Times New Roman" w:cs="Times New Roman"/>
          <w:bCs/>
          <w:sz w:val="28"/>
          <w:szCs w:val="28"/>
        </w:rPr>
        <w:t>Р</w:t>
      </w:r>
      <w:r w:rsidRPr="00B106F0">
        <w:rPr>
          <w:rFonts w:ascii="Times New Roman" w:hAnsi="Times New Roman" w:cs="Times New Roman"/>
          <w:bCs/>
          <w:sz w:val="28"/>
          <w:szCs w:val="28"/>
        </w:rPr>
        <w:t xml:space="preserve">езультатом </w:t>
      </w:r>
      <w:r>
        <w:rPr>
          <w:rFonts w:ascii="Times New Roman" w:hAnsi="Times New Roman" w:cs="Times New Roman"/>
          <w:bCs/>
          <w:sz w:val="28"/>
          <w:szCs w:val="28"/>
        </w:rPr>
        <w:t xml:space="preserve">анализа Индекса зрелости </w:t>
      </w:r>
      <w:r w:rsidRPr="00B106F0">
        <w:rPr>
          <w:rFonts w:ascii="Times New Roman" w:hAnsi="Times New Roman" w:cs="Times New Roman"/>
          <w:bCs/>
          <w:sz w:val="28"/>
          <w:szCs w:val="28"/>
        </w:rPr>
        <w:t>является отнесение компании к одному из пяти «уровней зрелости»:</w:t>
      </w:r>
    </w:p>
    <w:p w14:paraId="1EC538A5" w14:textId="77777777" w:rsidR="00B106F0" w:rsidRDefault="00B106F0" w:rsidP="00B106F0">
      <w:pPr>
        <w:pStyle w:val="a6"/>
        <w:numPr>
          <w:ilvl w:val="0"/>
          <w:numId w:val="4"/>
        </w:numPr>
        <w:tabs>
          <w:tab w:val="left" w:pos="980"/>
        </w:tabs>
        <w:spacing w:line="360" w:lineRule="auto"/>
        <w:jc w:val="both"/>
        <w:rPr>
          <w:rFonts w:ascii="Times New Roman" w:hAnsi="Times New Roman" w:cs="Times New Roman"/>
          <w:sz w:val="28"/>
          <w:szCs w:val="28"/>
        </w:rPr>
      </w:pPr>
      <w:r w:rsidRPr="00B04048">
        <w:rPr>
          <w:rFonts w:ascii="Times New Roman" w:hAnsi="Times New Roman" w:cs="Times New Roman"/>
          <w:sz w:val="28"/>
          <w:szCs w:val="28"/>
        </w:rPr>
        <w:t xml:space="preserve"> уровень I. </w:t>
      </w:r>
      <w:r w:rsidRPr="00B04048">
        <w:rPr>
          <w:rFonts w:ascii="Times New Roman" w:hAnsi="Times New Roman" w:cs="Times New Roman"/>
          <w:bCs/>
          <w:sz w:val="28"/>
          <w:szCs w:val="28"/>
        </w:rPr>
        <w:t>«</w:t>
      </w:r>
      <w:r w:rsidRPr="00B04048">
        <w:rPr>
          <w:rFonts w:ascii="Times New Roman" w:hAnsi="Times New Roman" w:cs="Times New Roman"/>
          <w:sz w:val="28"/>
          <w:szCs w:val="28"/>
        </w:rPr>
        <w:t>пассивный потребитель»</w:t>
      </w:r>
      <w:r>
        <w:rPr>
          <w:rFonts w:ascii="Times New Roman" w:hAnsi="Times New Roman" w:cs="Times New Roman"/>
          <w:sz w:val="28"/>
          <w:szCs w:val="28"/>
        </w:rPr>
        <w:t>;</w:t>
      </w:r>
      <w:r w:rsidRPr="00B04048">
        <w:rPr>
          <w:rFonts w:ascii="Times New Roman" w:hAnsi="Times New Roman" w:cs="Times New Roman"/>
          <w:sz w:val="28"/>
          <w:szCs w:val="28"/>
        </w:rPr>
        <w:t xml:space="preserve"> </w:t>
      </w:r>
    </w:p>
    <w:p w14:paraId="0F1AE7BD" w14:textId="77777777" w:rsidR="00B106F0" w:rsidRDefault="00B106F0" w:rsidP="00B106F0">
      <w:pPr>
        <w:pStyle w:val="a6"/>
        <w:numPr>
          <w:ilvl w:val="0"/>
          <w:numId w:val="4"/>
        </w:numPr>
        <w:tabs>
          <w:tab w:val="left" w:pos="980"/>
        </w:tabs>
        <w:spacing w:line="360" w:lineRule="auto"/>
        <w:jc w:val="both"/>
        <w:rPr>
          <w:rFonts w:ascii="Times New Roman" w:hAnsi="Times New Roman" w:cs="Times New Roman"/>
          <w:sz w:val="28"/>
          <w:szCs w:val="28"/>
        </w:rPr>
      </w:pPr>
      <w:r w:rsidRPr="00B106F0">
        <w:rPr>
          <w:rFonts w:ascii="Times New Roman" w:hAnsi="Times New Roman" w:cs="Times New Roman"/>
          <w:sz w:val="28"/>
          <w:szCs w:val="28"/>
        </w:rPr>
        <w:t>уров</w:t>
      </w:r>
      <w:r>
        <w:rPr>
          <w:rFonts w:ascii="Times New Roman" w:hAnsi="Times New Roman" w:cs="Times New Roman"/>
          <w:sz w:val="28"/>
          <w:szCs w:val="28"/>
        </w:rPr>
        <w:t>ень II. «пассивный потребитель»</w:t>
      </w:r>
      <w:r w:rsidRPr="00B106F0">
        <w:rPr>
          <w:rFonts w:ascii="Times New Roman" w:hAnsi="Times New Roman" w:cs="Times New Roman"/>
          <w:sz w:val="28"/>
          <w:szCs w:val="28"/>
        </w:rPr>
        <w:t>;</w:t>
      </w:r>
    </w:p>
    <w:p w14:paraId="1638F051" w14:textId="77777777" w:rsidR="00B106F0" w:rsidRPr="00B106F0" w:rsidRDefault="00B106F0" w:rsidP="00B106F0">
      <w:pPr>
        <w:pStyle w:val="a6"/>
        <w:numPr>
          <w:ilvl w:val="0"/>
          <w:numId w:val="4"/>
        </w:numPr>
        <w:tabs>
          <w:tab w:val="left" w:pos="980"/>
        </w:tabs>
        <w:spacing w:line="360" w:lineRule="auto"/>
        <w:jc w:val="both"/>
        <w:rPr>
          <w:rFonts w:ascii="Times New Roman" w:hAnsi="Times New Roman" w:cs="Times New Roman"/>
          <w:sz w:val="28"/>
          <w:szCs w:val="28"/>
        </w:rPr>
      </w:pPr>
      <w:r w:rsidRPr="00B106F0">
        <w:rPr>
          <w:rFonts w:ascii="Times New Roman" w:hAnsi="Times New Roman" w:cs="Times New Roman"/>
          <w:sz w:val="28"/>
          <w:szCs w:val="28"/>
        </w:rPr>
        <w:t xml:space="preserve"> уровень III. «условно – активный потребитель»;</w:t>
      </w:r>
    </w:p>
    <w:p w14:paraId="2167FED0" w14:textId="77777777" w:rsidR="00B106F0" w:rsidRDefault="00B106F0" w:rsidP="00B106F0">
      <w:pPr>
        <w:spacing w:line="360" w:lineRule="auto"/>
        <w:ind w:left="788"/>
        <w:jc w:val="both"/>
        <w:rPr>
          <w:rFonts w:ascii="Times New Roman" w:hAnsi="Times New Roman" w:cs="Times New Roman"/>
          <w:sz w:val="28"/>
          <w:szCs w:val="28"/>
        </w:rPr>
      </w:pPr>
      <w:r w:rsidRPr="00B106F0">
        <w:rPr>
          <w:rFonts w:ascii="Times New Roman" w:hAnsi="Times New Roman" w:cs="Times New Roman"/>
          <w:sz w:val="28"/>
          <w:szCs w:val="28"/>
        </w:rPr>
        <w:t>- уровень IV. «активный потребитель»;</w:t>
      </w:r>
    </w:p>
    <w:p w14:paraId="2DA72B8F" w14:textId="77777777" w:rsidR="00B106F0" w:rsidRPr="00B106F0" w:rsidRDefault="00B106F0" w:rsidP="00B106F0">
      <w:pPr>
        <w:spacing w:line="360" w:lineRule="auto"/>
        <w:ind w:left="788"/>
        <w:jc w:val="both"/>
        <w:rPr>
          <w:rFonts w:ascii="Times New Roman" w:hAnsi="Times New Roman" w:cs="Times New Roman"/>
          <w:sz w:val="28"/>
          <w:szCs w:val="28"/>
        </w:rPr>
      </w:pPr>
      <w:r w:rsidRPr="00B106F0">
        <w:rPr>
          <w:rFonts w:ascii="Times New Roman" w:hAnsi="Times New Roman" w:cs="Times New Roman"/>
          <w:sz w:val="28"/>
          <w:szCs w:val="28"/>
        </w:rPr>
        <w:t>- уровень V. «активный потребитель».</w:t>
      </w:r>
    </w:p>
    <w:p w14:paraId="013ED70F" w14:textId="77777777" w:rsidR="00B106F0" w:rsidRPr="00EB26EF" w:rsidRDefault="00776EE9" w:rsidP="00B106F0">
      <w:pPr>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На основе рассчитанного индекса зрелости формируются кластеры компаний. </w:t>
      </w:r>
      <w:r w:rsidR="00B106F0">
        <w:rPr>
          <w:rFonts w:ascii="Times New Roman" w:hAnsi="Times New Roman" w:cs="Times New Roman"/>
          <w:color w:val="000000"/>
          <w:sz w:val="28"/>
          <w:szCs w:val="28"/>
        </w:rPr>
        <w:t xml:space="preserve">Результаты анализа российских компаний энергетического сектора, полученные на основе представленного подхода, показывают, что </w:t>
      </w:r>
      <w:r w:rsidR="00B106F0" w:rsidRPr="00EB26EF">
        <w:rPr>
          <w:rFonts w:ascii="Times New Roman" w:hAnsi="Times New Roman" w:cs="Times New Roman"/>
          <w:sz w:val="28"/>
          <w:szCs w:val="28"/>
        </w:rPr>
        <w:t xml:space="preserve">большинство обследованных компаний находится на второй стадии </w:t>
      </w:r>
      <w:r w:rsidR="00B106F0">
        <w:rPr>
          <w:rFonts w:ascii="Times New Roman" w:hAnsi="Times New Roman" w:cs="Times New Roman"/>
          <w:sz w:val="28"/>
          <w:szCs w:val="28"/>
        </w:rPr>
        <w:t xml:space="preserve">зрелости </w:t>
      </w:r>
      <w:r w:rsidR="00B106F0" w:rsidRPr="00EB26EF">
        <w:rPr>
          <w:rFonts w:ascii="Times New Roman" w:hAnsi="Times New Roman" w:cs="Times New Roman"/>
          <w:sz w:val="28"/>
          <w:szCs w:val="28"/>
        </w:rPr>
        <w:t xml:space="preserve">– пассивных потребителей. Для того, чтобы компании могли перейти на </w:t>
      </w:r>
      <w:r w:rsidR="00B106F0" w:rsidRPr="00EB26EF">
        <w:rPr>
          <w:rFonts w:ascii="Times New Roman" w:hAnsi="Times New Roman" w:cs="Times New Roman"/>
          <w:sz w:val="28"/>
          <w:szCs w:val="28"/>
        </w:rPr>
        <w:lastRenderedPageBreak/>
        <w:t>следующий третий «уровень зрелости» - условно – активно потребителя необходима трансформация бизнес – моделей на электроэнергетическом рынке, «поведенческое» вовлечение потребителей в управление спросом и «аналитическое» управление спросом, позволяющее использование расширенных данных о функционировании оборудования и потреблении электроэнергии для выявления возможностей оптимизации нагрузки.</w:t>
      </w:r>
    </w:p>
    <w:p w14:paraId="62CD0036" w14:textId="77777777" w:rsidR="00776EE9" w:rsidRDefault="00776EE9" w:rsidP="00776EE9">
      <w:pPr>
        <w:spacing w:line="360" w:lineRule="auto"/>
        <w:ind w:firstLine="708"/>
        <w:jc w:val="both"/>
        <w:rPr>
          <w:rFonts w:ascii="Times New Roman" w:hAnsi="Times New Roman" w:cs="Times New Roman"/>
          <w:color w:val="000000"/>
          <w:sz w:val="28"/>
          <w:szCs w:val="28"/>
        </w:rPr>
      </w:pPr>
    </w:p>
    <w:p w14:paraId="6D8E066F" w14:textId="77777777" w:rsidR="00776EE9" w:rsidRPr="00776EE9" w:rsidRDefault="00776EE9" w:rsidP="00776EE9">
      <w:pPr>
        <w:spacing w:line="360" w:lineRule="auto"/>
        <w:jc w:val="both"/>
        <w:rPr>
          <w:rFonts w:ascii="Times New Roman" w:hAnsi="Times New Roman" w:cs="Times New Roman"/>
          <w:color w:val="000000"/>
          <w:sz w:val="28"/>
          <w:szCs w:val="28"/>
        </w:rPr>
      </w:pPr>
    </w:p>
    <w:p w14:paraId="7C99CE6D" w14:textId="77777777" w:rsidR="00776EE9" w:rsidRPr="00776EE9" w:rsidRDefault="00776EE9" w:rsidP="00776EE9">
      <w:pPr>
        <w:spacing w:line="360" w:lineRule="auto"/>
        <w:ind w:firstLine="708"/>
        <w:jc w:val="both"/>
        <w:rPr>
          <w:rFonts w:ascii="Times New Roman" w:hAnsi="Times New Roman" w:cs="Times New Roman"/>
          <w:color w:val="000000"/>
          <w:sz w:val="28"/>
          <w:szCs w:val="28"/>
        </w:rPr>
      </w:pPr>
    </w:p>
    <w:p w14:paraId="33912069" w14:textId="77777777" w:rsidR="00EB26EF" w:rsidRPr="00776EE9" w:rsidRDefault="00EB26EF" w:rsidP="00776EE9">
      <w:pPr>
        <w:jc w:val="both"/>
        <w:rPr>
          <w:rFonts w:ascii="Times New Roman" w:hAnsi="Times New Roman" w:cs="Times New Roman"/>
          <w:sz w:val="28"/>
          <w:szCs w:val="28"/>
        </w:rPr>
      </w:pPr>
      <w:r w:rsidRPr="00776EE9">
        <w:rPr>
          <w:rFonts w:ascii="Times New Roman" w:hAnsi="Times New Roman" w:cs="Times New Roman"/>
          <w:sz w:val="28"/>
          <w:szCs w:val="28"/>
        </w:rPr>
        <w:br w:type="page"/>
      </w:r>
    </w:p>
    <w:p w14:paraId="61953CE0" w14:textId="77777777" w:rsidR="00EB26EF" w:rsidRDefault="00EB26EF" w:rsidP="00EB26EF">
      <w:pPr>
        <w:jc w:val="center"/>
        <w:rPr>
          <w:rFonts w:ascii="Times New Roman" w:hAnsi="Times New Roman" w:cs="Times New Roman"/>
          <w:b/>
          <w:color w:val="000000"/>
          <w:sz w:val="28"/>
          <w:szCs w:val="28"/>
        </w:rPr>
      </w:pPr>
      <w:r w:rsidRPr="00A119ED">
        <w:rPr>
          <w:rFonts w:ascii="Times New Roman" w:hAnsi="Times New Roman" w:cs="Times New Roman"/>
          <w:b/>
          <w:color w:val="000000"/>
          <w:sz w:val="28"/>
          <w:szCs w:val="28"/>
        </w:rPr>
        <w:lastRenderedPageBreak/>
        <w:t xml:space="preserve">Методика оценки готовности компаний к внедрению технологий интеллектуальных (активно – адаптивных) сетей и связанных с ним технологий «Интернета энергии» (Internet </w:t>
      </w:r>
      <w:proofErr w:type="spellStart"/>
      <w:r w:rsidRPr="00A119ED">
        <w:rPr>
          <w:rFonts w:ascii="Times New Roman" w:hAnsi="Times New Roman" w:cs="Times New Roman"/>
          <w:b/>
          <w:color w:val="000000"/>
          <w:sz w:val="28"/>
          <w:szCs w:val="28"/>
        </w:rPr>
        <w:t>of</w:t>
      </w:r>
      <w:proofErr w:type="spellEnd"/>
      <w:r w:rsidRPr="00A119ED">
        <w:rPr>
          <w:rFonts w:ascii="Times New Roman" w:hAnsi="Times New Roman" w:cs="Times New Roman"/>
          <w:b/>
          <w:color w:val="000000"/>
          <w:sz w:val="28"/>
          <w:szCs w:val="28"/>
        </w:rPr>
        <w:t xml:space="preserve"> </w:t>
      </w:r>
      <w:proofErr w:type="spellStart"/>
      <w:r w:rsidRPr="00A119ED">
        <w:rPr>
          <w:rFonts w:ascii="Times New Roman" w:hAnsi="Times New Roman" w:cs="Times New Roman"/>
          <w:b/>
          <w:color w:val="000000"/>
          <w:sz w:val="28"/>
          <w:szCs w:val="28"/>
        </w:rPr>
        <w:t>Energy</w:t>
      </w:r>
      <w:proofErr w:type="spellEnd"/>
      <w:r w:rsidRPr="00A119ED">
        <w:rPr>
          <w:rFonts w:ascii="Times New Roman" w:hAnsi="Times New Roman" w:cs="Times New Roman"/>
          <w:b/>
          <w:color w:val="000000"/>
          <w:sz w:val="28"/>
          <w:szCs w:val="28"/>
        </w:rPr>
        <w:t>) на основе индекса зрелости</w:t>
      </w:r>
    </w:p>
    <w:p w14:paraId="354D4A52" w14:textId="77777777" w:rsidR="00EB26EF" w:rsidRDefault="00EB26EF" w:rsidP="00E304ED">
      <w:pPr>
        <w:jc w:val="center"/>
        <w:rPr>
          <w:rFonts w:ascii="Times New Roman" w:hAnsi="Times New Roman" w:cs="Times New Roman"/>
          <w:b/>
          <w:sz w:val="28"/>
          <w:szCs w:val="28"/>
        </w:rPr>
      </w:pPr>
    </w:p>
    <w:p w14:paraId="712909AC" w14:textId="77777777" w:rsidR="00EB26EF" w:rsidRPr="00EB26EF" w:rsidRDefault="00EB26EF" w:rsidP="00EB26EF">
      <w:pPr>
        <w:spacing w:line="360" w:lineRule="auto"/>
        <w:jc w:val="both"/>
        <w:rPr>
          <w:rFonts w:ascii="Times New Roman" w:hAnsi="Times New Roman" w:cs="Times New Roman"/>
          <w:sz w:val="28"/>
          <w:szCs w:val="28"/>
        </w:rPr>
      </w:pPr>
    </w:p>
    <w:p w14:paraId="4E64FC2D" w14:textId="77777777" w:rsidR="00EB26EF" w:rsidRPr="00EB26EF" w:rsidRDefault="00EB26EF" w:rsidP="00EB26EF">
      <w:pPr>
        <w:spacing w:line="360" w:lineRule="auto"/>
        <w:jc w:val="both"/>
        <w:rPr>
          <w:rFonts w:ascii="Times New Roman" w:hAnsi="Times New Roman" w:cs="Times New Roman"/>
          <w:sz w:val="28"/>
          <w:szCs w:val="28"/>
        </w:rPr>
      </w:pPr>
    </w:p>
    <w:p w14:paraId="132B2B62" w14:textId="77777777" w:rsidR="00EB26EF" w:rsidRPr="00EB26EF" w:rsidRDefault="00EB26EF" w:rsidP="00EB26EF">
      <w:pPr>
        <w:spacing w:line="360" w:lineRule="auto"/>
        <w:ind w:firstLine="708"/>
        <w:jc w:val="both"/>
        <w:rPr>
          <w:rFonts w:ascii="Times New Roman" w:hAnsi="Times New Roman" w:cs="Times New Roman"/>
          <w:sz w:val="28"/>
          <w:szCs w:val="28"/>
        </w:rPr>
      </w:pPr>
      <w:r w:rsidRPr="00EB26EF">
        <w:rPr>
          <w:rFonts w:ascii="Times New Roman" w:hAnsi="Times New Roman" w:cs="Times New Roman"/>
          <w:sz w:val="28"/>
          <w:szCs w:val="28"/>
        </w:rPr>
        <w:t xml:space="preserve">Для </w:t>
      </w:r>
      <w:r>
        <w:rPr>
          <w:rFonts w:ascii="Times New Roman" w:hAnsi="Times New Roman" w:cs="Times New Roman"/>
          <w:sz w:val="28"/>
          <w:szCs w:val="28"/>
        </w:rPr>
        <w:t xml:space="preserve">оценки готовности компаний к внедрению технологий интеллектуальных (активно – адаптивных) сетей и связанных с ним  технологий «Интернета энергии» был разработан Индекс зрелости. </w:t>
      </w:r>
      <w:r w:rsidRPr="00EB26EF">
        <w:rPr>
          <w:rFonts w:ascii="Times New Roman" w:hAnsi="Times New Roman" w:cs="Times New Roman"/>
          <w:sz w:val="28"/>
          <w:szCs w:val="28"/>
        </w:rPr>
        <w:t xml:space="preserve"> </w:t>
      </w:r>
      <w:r>
        <w:rPr>
          <w:rFonts w:ascii="Times New Roman" w:hAnsi="Times New Roman" w:cs="Times New Roman"/>
          <w:sz w:val="28"/>
          <w:szCs w:val="28"/>
        </w:rPr>
        <w:t>М</w:t>
      </w:r>
      <w:r w:rsidRPr="00EB26EF">
        <w:rPr>
          <w:rFonts w:ascii="Times New Roman" w:hAnsi="Times New Roman" w:cs="Times New Roman"/>
          <w:sz w:val="28"/>
          <w:szCs w:val="28"/>
        </w:rPr>
        <w:t>етодика формирования «индекса зрелости» для промышленных компаний к внедрению технологий интеллектуальных энергетических сетей</w:t>
      </w:r>
      <w:r>
        <w:rPr>
          <w:rFonts w:ascii="Times New Roman" w:hAnsi="Times New Roman" w:cs="Times New Roman"/>
          <w:sz w:val="28"/>
          <w:szCs w:val="28"/>
        </w:rPr>
        <w:t xml:space="preserve"> следующая:</w:t>
      </w:r>
    </w:p>
    <w:p w14:paraId="7A2C0AB1" w14:textId="77777777" w:rsidR="00EB26EF" w:rsidRPr="00EB26EF" w:rsidRDefault="00EB26EF" w:rsidP="00EB26EF">
      <w:pPr>
        <w:numPr>
          <w:ilvl w:val="0"/>
          <w:numId w:val="2"/>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На первом этапе определяются характеристики нового рынка и его участников, исходя из ключевой цели – построение открытого равнодоступного конкурентного инновационного эффективного рынка в электроэнергетике с активными участниками. </w:t>
      </w:r>
    </w:p>
    <w:p w14:paraId="06A31C12" w14:textId="77777777" w:rsidR="00EB26EF" w:rsidRPr="00EB26EF" w:rsidRDefault="00EB26EF" w:rsidP="00EB26EF">
      <w:pPr>
        <w:numPr>
          <w:ilvl w:val="0"/>
          <w:numId w:val="2"/>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Участники непосредственного влияют на рынок и энергосистему, поэтому далее исходя из характеристик нового энергорынка разрабатываются ключевые измерения для промышленных компаний исходя из технологий, которые внедрила у себя компания: </w:t>
      </w:r>
      <w:proofErr w:type="spellStart"/>
      <w:r w:rsidRPr="00EB26EF">
        <w:rPr>
          <w:rFonts w:ascii="Times New Roman" w:hAnsi="Times New Roman" w:cs="Times New Roman"/>
          <w:sz w:val="28"/>
          <w:szCs w:val="28"/>
        </w:rPr>
        <w:t>электропотребляющее</w:t>
      </w:r>
      <w:proofErr w:type="spellEnd"/>
      <w:r w:rsidRPr="00EB26EF">
        <w:rPr>
          <w:rFonts w:ascii="Times New Roman" w:hAnsi="Times New Roman" w:cs="Times New Roman"/>
          <w:sz w:val="28"/>
          <w:szCs w:val="28"/>
        </w:rPr>
        <w:t xml:space="preserve"> оборудование, способное к изменению (перенесению) нагрузки, собственная генерация, накопители электроэнергии.</w:t>
      </w:r>
    </w:p>
    <w:p w14:paraId="3A788414" w14:textId="77777777" w:rsidR="00EB26EF" w:rsidRPr="00EB26EF" w:rsidRDefault="00EB26EF" w:rsidP="00EB26EF">
      <w:pPr>
        <w:numPr>
          <w:ilvl w:val="0"/>
          <w:numId w:val="2"/>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Каждое измерение анализируется через призму пяти уровней зрелости, для которых характерны определенные признаки. Первый уровень означает, что измерение готовности внедрению технологий ИЭС находится на начальном этапе развития, а пятый уровень говорит о высоком прогрессе в данном измерении.</w:t>
      </w:r>
    </w:p>
    <w:p w14:paraId="3C6FCD2E" w14:textId="77777777" w:rsidR="00EB26EF" w:rsidRPr="00EB26EF" w:rsidRDefault="00EB26EF" w:rsidP="00EB26EF">
      <w:pPr>
        <w:spacing w:line="360" w:lineRule="auto"/>
        <w:ind w:firstLine="708"/>
        <w:jc w:val="both"/>
        <w:rPr>
          <w:rFonts w:ascii="Times New Roman" w:hAnsi="Times New Roman" w:cs="Times New Roman"/>
          <w:sz w:val="28"/>
          <w:szCs w:val="28"/>
        </w:rPr>
      </w:pPr>
      <w:r w:rsidRPr="00EB26EF">
        <w:rPr>
          <w:rFonts w:ascii="Times New Roman" w:hAnsi="Times New Roman" w:cs="Times New Roman"/>
          <w:sz w:val="28"/>
          <w:szCs w:val="28"/>
        </w:rPr>
        <w:t xml:space="preserve">Далее на основе разработанной нами методики была проведена оценка промышленных компаний – потребителей. </w:t>
      </w:r>
    </w:p>
    <w:p w14:paraId="281F365A"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i/>
          <w:sz w:val="28"/>
          <w:szCs w:val="28"/>
        </w:rPr>
        <w:lastRenderedPageBreak/>
        <w:t>Первый этап</w:t>
      </w:r>
      <w:r w:rsidRPr="00EB26EF">
        <w:rPr>
          <w:rFonts w:ascii="Times New Roman" w:hAnsi="Times New Roman" w:cs="Times New Roman"/>
          <w:sz w:val="28"/>
          <w:szCs w:val="28"/>
        </w:rPr>
        <w:t>. Для построения нового энергорынка необходимо чтобы промышленные компании – потребители обладали характеристиками:</w:t>
      </w:r>
    </w:p>
    <w:p w14:paraId="5074EFF7" w14:textId="77777777" w:rsidR="00EB26EF" w:rsidRPr="00EB26EF" w:rsidRDefault="00EB26EF" w:rsidP="00EB26EF">
      <w:pPr>
        <w:numPr>
          <w:ilvl w:val="0"/>
          <w:numId w:val="1"/>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приближение генерации к потребителю, развитие распределенной генерации;</w:t>
      </w:r>
    </w:p>
    <w:p w14:paraId="3126A555" w14:textId="77777777" w:rsidR="00EB26EF" w:rsidRPr="00EB26EF" w:rsidRDefault="00EB26EF" w:rsidP="00EB26EF">
      <w:pPr>
        <w:numPr>
          <w:ilvl w:val="0"/>
          <w:numId w:val="1"/>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потребитель – активный участник рынка электроэнергии, элемент и субъект системы управления.</w:t>
      </w:r>
    </w:p>
    <w:p w14:paraId="32A1761C"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i/>
          <w:sz w:val="28"/>
          <w:szCs w:val="28"/>
        </w:rPr>
        <w:t>Второй этап</w:t>
      </w:r>
      <w:r w:rsidRPr="00EB26EF">
        <w:rPr>
          <w:rFonts w:ascii="Times New Roman" w:hAnsi="Times New Roman" w:cs="Times New Roman"/>
          <w:sz w:val="28"/>
          <w:szCs w:val="28"/>
        </w:rPr>
        <w:t>. Исходя их данных принципов описаны ключевые измерения для каждого типа компаний участников энергорынка.</w:t>
      </w:r>
    </w:p>
    <w:p w14:paraId="773CEDE7"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В таблице </w:t>
      </w:r>
      <w:r w:rsidR="00776EE9">
        <w:rPr>
          <w:rFonts w:ascii="Times New Roman" w:hAnsi="Times New Roman" w:cs="Times New Roman"/>
          <w:sz w:val="28"/>
          <w:szCs w:val="28"/>
        </w:rPr>
        <w:t>1</w:t>
      </w:r>
      <w:r w:rsidRPr="00EB26EF">
        <w:rPr>
          <w:rFonts w:ascii="Times New Roman" w:hAnsi="Times New Roman" w:cs="Times New Roman"/>
          <w:sz w:val="28"/>
          <w:szCs w:val="28"/>
        </w:rPr>
        <w:t xml:space="preserve"> представлены ключевые характеристики для промышленных компаний – потребителей электроэнергии.</w:t>
      </w:r>
    </w:p>
    <w:p w14:paraId="777FC009"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Таблица </w:t>
      </w:r>
      <w:r w:rsidR="00776EE9">
        <w:rPr>
          <w:rFonts w:ascii="Times New Roman" w:hAnsi="Times New Roman" w:cs="Times New Roman"/>
          <w:sz w:val="28"/>
          <w:szCs w:val="28"/>
        </w:rPr>
        <w:t>1</w:t>
      </w:r>
      <w:r w:rsidRPr="00EB26EF">
        <w:rPr>
          <w:rFonts w:ascii="Times New Roman" w:hAnsi="Times New Roman" w:cs="Times New Roman"/>
          <w:sz w:val="28"/>
          <w:szCs w:val="28"/>
        </w:rPr>
        <w:t xml:space="preserve"> – Характеристики компонентов «уровня зрелости» промышленных компаний</w:t>
      </w:r>
    </w:p>
    <w:tbl>
      <w:tblPr>
        <w:tblStyle w:val="a3"/>
        <w:tblW w:w="0" w:type="auto"/>
        <w:tblLook w:val="04A0" w:firstRow="1" w:lastRow="0" w:firstColumn="1" w:lastColumn="0" w:noHBand="0" w:noVBand="1"/>
      </w:tblPr>
      <w:tblGrid>
        <w:gridCol w:w="6377"/>
        <w:gridCol w:w="567"/>
        <w:gridCol w:w="561"/>
        <w:gridCol w:w="547"/>
        <w:gridCol w:w="608"/>
        <w:gridCol w:w="679"/>
      </w:tblGrid>
      <w:tr w:rsidR="00EB26EF" w:rsidRPr="00EB26EF" w14:paraId="3A520310" w14:textId="77777777" w:rsidTr="00EB26EF">
        <w:tc>
          <w:tcPr>
            <w:tcW w:w="6578" w:type="dxa"/>
            <w:vMerge w:val="restart"/>
          </w:tcPr>
          <w:p w14:paraId="7AF702B1"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Характеристики</w:t>
            </w:r>
          </w:p>
        </w:tc>
        <w:tc>
          <w:tcPr>
            <w:tcW w:w="2987" w:type="dxa"/>
            <w:gridSpan w:val="5"/>
          </w:tcPr>
          <w:p w14:paraId="712F3004"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Уровень развития</w:t>
            </w:r>
          </w:p>
        </w:tc>
      </w:tr>
      <w:tr w:rsidR="00EB26EF" w:rsidRPr="00EB26EF" w14:paraId="529CF0EB" w14:textId="77777777" w:rsidTr="00EB26EF">
        <w:tc>
          <w:tcPr>
            <w:tcW w:w="6578" w:type="dxa"/>
            <w:vMerge/>
          </w:tcPr>
          <w:p w14:paraId="774C4F28" w14:textId="77777777" w:rsidR="00EB26EF" w:rsidRPr="00EB26EF" w:rsidRDefault="00EB26EF" w:rsidP="00EB26EF">
            <w:pPr>
              <w:spacing w:line="360" w:lineRule="auto"/>
              <w:jc w:val="both"/>
              <w:rPr>
                <w:rFonts w:ascii="Times New Roman" w:hAnsi="Times New Roman" w:cs="Times New Roman"/>
                <w:sz w:val="28"/>
                <w:szCs w:val="28"/>
              </w:rPr>
            </w:pPr>
          </w:p>
        </w:tc>
        <w:tc>
          <w:tcPr>
            <w:tcW w:w="1133" w:type="dxa"/>
            <w:gridSpan w:val="2"/>
          </w:tcPr>
          <w:p w14:paraId="4585A346"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низкий</w:t>
            </w:r>
          </w:p>
        </w:tc>
        <w:tc>
          <w:tcPr>
            <w:tcW w:w="563" w:type="dxa"/>
          </w:tcPr>
          <w:p w14:paraId="32D58414" w14:textId="77777777" w:rsidR="00EB26EF" w:rsidRPr="00EB26EF" w:rsidRDefault="00EB26EF" w:rsidP="00EB26EF">
            <w:pPr>
              <w:spacing w:line="360" w:lineRule="auto"/>
              <w:jc w:val="both"/>
              <w:rPr>
                <w:rFonts w:ascii="Times New Roman" w:hAnsi="Times New Roman" w:cs="Times New Roman"/>
                <w:sz w:val="28"/>
                <w:szCs w:val="28"/>
              </w:rPr>
            </w:pPr>
          </w:p>
        </w:tc>
        <w:tc>
          <w:tcPr>
            <w:tcW w:w="1291" w:type="dxa"/>
            <w:gridSpan w:val="2"/>
          </w:tcPr>
          <w:p w14:paraId="4438D054"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высокий</w:t>
            </w:r>
          </w:p>
        </w:tc>
      </w:tr>
      <w:tr w:rsidR="00EB26EF" w:rsidRPr="00EB26EF" w14:paraId="2367D7D0" w14:textId="77777777" w:rsidTr="00EB26EF">
        <w:tc>
          <w:tcPr>
            <w:tcW w:w="6578" w:type="dxa"/>
          </w:tcPr>
          <w:p w14:paraId="69D34F5F"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Маневрирование энергопотреблением</w:t>
            </w:r>
          </w:p>
          <w:p w14:paraId="6A98CDD8"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Снижение или перенесение нагрузки во времени</w:t>
            </w:r>
          </w:p>
        </w:tc>
        <w:tc>
          <w:tcPr>
            <w:tcW w:w="567" w:type="dxa"/>
            <w:shd w:val="clear" w:color="auto" w:fill="D99594" w:themeFill="accent2" w:themeFillTint="99"/>
            <w:vAlign w:val="center"/>
          </w:tcPr>
          <w:p w14:paraId="031DCB9D"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1</w:t>
            </w:r>
          </w:p>
        </w:tc>
        <w:tc>
          <w:tcPr>
            <w:tcW w:w="566" w:type="dxa"/>
            <w:shd w:val="clear" w:color="auto" w:fill="E5B8B7" w:themeFill="accent2" w:themeFillTint="66"/>
            <w:vAlign w:val="center"/>
          </w:tcPr>
          <w:p w14:paraId="2918E7FB"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2</w:t>
            </w:r>
          </w:p>
        </w:tc>
        <w:tc>
          <w:tcPr>
            <w:tcW w:w="563" w:type="dxa"/>
            <w:shd w:val="clear" w:color="auto" w:fill="FABF8F" w:themeFill="accent6" w:themeFillTint="99"/>
            <w:vAlign w:val="center"/>
          </w:tcPr>
          <w:p w14:paraId="3B884687"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3</w:t>
            </w:r>
          </w:p>
        </w:tc>
        <w:tc>
          <w:tcPr>
            <w:tcW w:w="608" w:type="dxa"/>
            <w:shd w:val="clear" w:color="auto" w:fill="D6E3BC" w:themeFill="accent3" w:themeFillTint="66"/>
            <w:vAlign w:val="center"/>
          </w:tcPr>
          <w:p w14:paraId="76067850"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4</w:t>
            </w:r>
          </w:p>
        </w:tc>
        <w:tc>
          <w:tcPr>
            <w:tcW w:w="683" w:type="dxa"/>
            <w:shd w:val="clear" w:color="auto" w:fill="C2D69B" w:themeFill="accent3" w:themeFillTint="99"/>
            <w:vAlign w:val="center"/>
          </w:tcPr>
          <w:p w14:paraId="71429C01"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5</w:t>
            </w:r>
          </w:p>
        </w:tc>
      </w:tr>
      <w:tr w:rsidR="00EB26EF" w:rsidRPr="00EB26EF" w14:paraId="45480C8E" w14:textId="77777777" w:rsidTr="00EB26EF">
        <w:tc>
          <w:tcPr>
            <w:tcW w:w="6578" w:type="dxa"/>
          </w:tcPr>
          <w:p w14:paraId="61CF0D5E"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Управление собственной генерацией</w:t>
            </w:r>
          </w:p>
          <w:p w14:paraId="5F40C1F0"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 определение объема собственного потребления от нее, </w:t>
            </w:r>
          </w:p>
          <w:p w14:paraId="525CF884"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определение объема электроэнергии, поставляемого на рынок</w:t>
            </w:r>
          </w:p>
        </w:tc>
        <w:tc>
          <w:tcPr>
            <w:tcW w:w="567" w:type="dxa"/>
            <w:shd w:val="clear" w:color="auto" w:fill="D99594" w:themeFill="accent2" w:themeFillTint="99"/>
            <w:vAlign w:val="center"/>
          </w:tcPr>
          <w:p w14:paraId="53B6C21C"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1</w:t>
            </w:r>
          </w:p>
        </w:tc>
        <w:tc>
          <w:tcPr>
            <w:tcW w:w="566" w:type="dxa"/>
            <w:shd w:val="clear" w:color="auto" w:fill="E5B8B7" w:themeFill="accent2" w:themeFillTint="66"/>
            <w:vAlign w:val="center"/>
          </w:tcPr>
          <w:p w14:paraId="25418411"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2</w:t>
            </w:r>
          </w:p>
        </w:tc>
        <w:tc>
          <w:tcPr>
            <w:tcW w:w="563" w:type="dxa"/>
            <w:shd w:val="clear" w:color="auto" w:fill="FABF8F" w:themeFill="accent6" w:themeFillTint="99"/>
            <w:vAlign w:val="center"/>
          </w:tcPr>
          <w:p w14:paraId="5D74361F"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3</w:t>
            </w:r>
          </w:p>
        </w:tc>
        <w:tc>
          <w:tcPr>
            <w:tcW w:w="608" w:type="dxa"/>
            <w:shd w:val="clear" w:color="auto" w:fill="D6E3BC" w:themeFill="accent3" w:themeFillTint="66"/>
            <w:vAlign w:val="center"/>
          </w:tcPr>
          <w:p w14:paraId="4E4D3B12"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4</w:t>
            </w:r>
          </w:p>
        </w:tc>
        <w:tc>
          <w:tcPr>
            <w:tcW w:w="683" w:type="dxa"/>
            <w:shd w:val="clear" w:color="auto" w:fill="C2D69B" w:themeFill="accent3" w:themeFillTint="99"/>
            <w:vAlign w:val="center"/>
          </w:tcPr>
          <w:p w14:paraId="03E00C64"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5</w:t>
            </w:r>
          </w:p>
        </w:tc>
      </w:tr>
      <w:tr w:rsidR="00EB26EF" w:rsidRPr="00EB26EF" w14:paraId="4C55F9C2" w14:textId="77777777" w:rsidTr="00EB26EF">
        <w:tc>
          <w:tcPr>
            <w:tcW w:w="6578" w:type="dxa"/>
          </w:tcPr>
          <w:p w14:paraId="78166E36"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Управление режимом накопления электроэнергии</w:t>
            </w:r>
          </w:p>
          <w:p w14:paraId="0F8F0A87" w14:textId="77777777" w:rsidR="00EB26EF" w:rsidRPr="00EB26EF" w:rsidRDefault="00EB26EF" w:rsidP="00EB26EF">
            <w:pPr>
              <w:numPr>
                <w:ilvl w:val="0"/>
                <w:numId w:val="1"/>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накопление электроэнергии;</w:t>
            </w:r>
          </w:p>
          <w:p w14:paraId="7D9388B9" w14:textId="77777777" w:rsidR="00EB26EF" w:rsidRPr="00EB26EF" w:rsidRDefault="00EB26EF" w:rsidP="00EB26EF">
            <w:pPr>
              <w:numPr>
                <w:ilvl w:val="0"/>
                <w:numId w:val="1"/>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потребление накопленной электроэнергии;</w:t>
            </w:r>
          </w:p>
          <w:p w14:paraId="1FF11D71" w14:textId="77777777" w:rsidR="00EB26EF" w:rsidRPr="00EB26EF" w:rsidRDefault="00EB26EF" w:rsidP="00EB26EF">
            <w:pPr>
              <w:numPr>
                <w:ilvl w:val="0"/>
                <w:numId w:val="1"/>
              </w:num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продажа накопленной электроэнергии на рынок</w:t>
            </w:r>
          </w:p>
        </w:tc>
        <w:tc>
          <w:tcPr>
            <w:tcW w:w="567" w:type="dxa"/>
            <w:shd w:val="clear" w:color="auto" w:fill="D99594" w:themeFill="accent2" w:themeFillTint="99"/>
            <w:vAlign w:val="center"/>
          </w:tcPr>
          <w:p w14:paraId="000331D3"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1</w:t>
            </w:r>
          </w:p>
        </w:tc>
        <w:tc>
          <w:tcPr>
            <w:tcW w:w="566" w:type="dxa"/>
            <w:shd w:val="clear" w:color="auto" w:fill="E5B8B7" w:themeFill="accent2" w:themeFillTint="66"/>
            <w:vAlign w:val="center"/>
          </w:tcPr>
          <w:p w14:paraId="159B20DB"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2</w:t>
            </w:r>
          </w:p>
        </w:tc>
        <w:tc>
          <w:tcPr>
            <w:tcW w:w="563" w:type="dxa"/>
            <w:shd w:val="clear" w:color="auto" w:fill="FABF8F" w:themeFill="accent6" w:themeFillTint="99"/>
            <w:vAlign w:val="center"/>
          </w:tcPr>
          <w:p w14:paraId="7B4823AF"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3</w:t>
            </w:r>
          </w:p>
        </w:tc>
        <w:tc>
          <w:tcPr>
            <w:tcW w:w="608" w:type="dxa"/>
            <w:shd w:val="clear" w:color="auto" w:fill="D6E3BC" w:themeFill="accent3" w:themeFillTint="66"/>
            <w:vAlign w:val="center"/>
          </w:tcPr>
          <w:p w14:paraId="198DEC19"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4</w:t>
            </w:r>
          </w:p>
        </w:tc>
        <w:tc>
          <w:tcPr>
            <w:tcW w:w="683" w:type="dxa"/>
            <w:shd w:val="clear" w:color="auto" w:fill="C2D69B" w:themeFill="accent3" w:themeFillTint="99"/>
            <w:vAlign w:val="center"/>
          </w:tcPr>
          <w:p w14:paraId="74A72C28"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5</w:t>
            </w:r>
          </w:p>
        </w:tc>
      </w:tr>
    </w:tbl>
    <w:p w14:paraId="195B71CD" w14:textId="77777777" w:rsidR="00EB26EF" w:rsidRPr="00EB26EF" w:rsidRDefault="00EB26EF" w:rsidP="00EB26EF">
      <w:pPr>
        <w:spacing w:line="360" w:lineRule="auto"/>
        <w:jc w:val="both"/>
        <w:rPr>
          <w:rFonts w:ascii="Times New Roman" w:hAnsi="Times New Roman" w:cs="Times New Roman"/>
          <w:i/>
          <w:sz w:val="28"/>
          <w:szCs w:val="28"/>
        </w:rPr>
      </w:pPr>
    </w:p>
    <w:p w14:paraId="642995A5"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i/>
          <w:sz w:val="28"/>
          <w:szCs w:val="28"/>
        </w:rPr>
        <w:lastRenderedPageBreak/>
        <w:t>Третий этап</w:t>
      </w:r>
      <w:r w:rsidRPr="00EB26EF">
        <w:rPr>
          <w:rFonts w:ascii="Times New Roman" w:hAnsi="Times New Roman" w:cs="Times New Roman"/>
          <w:sz w:val="28"/>
          <w:szCs w:val="28"/>
        </w:rPr>
        <w:t>. Разработаны пять измерений уровня зрелости промышленных компаний по осуществлению деятельности по управлению спр</w:t>
      </w:r>
      <w:r w:rsidR="00776EE9">
        <w:rPr>
          <w:rFonts w:ascii="Times New Roman" w:hAnsi="Times New Roman" w:cs="Times New Roman"/>
          <w:sz w:val="28"/>
          <w:szCs w:val="28"/>
        </w:rPr>
        <w:t>осом на электроэнергию (табл. 2</w:t>
      </w:r>
      <w:r w:rsidRPr="00EB26EF">
        <w:rPr>
          <w:rFonts w:ascii="Times New Roman" w:hAnsi="Times New Roman" w:cs="Times New Roman"/>
          <w:sz w:val="28"/>
          <w:szCs w:val="28"/>
        </w:rPr>
        <w:t>).</w:t>
      </w:r>
    </w:p>
    <w:p w14:paraId="2A5EC26B" w14:textId="77777777" w:rsidR="00EB26EF" w:rsidRPr="00EB26EF" w:rsidRDefault="00776EE9" w:rsidP="00EB26EF">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00EB26EF" w:rsidRPr="00EB26EF">
        <w:rPr>
          <w:rFonts w:ascii="Times New Roman" w:hAnsi="Times New Roman" w:cs="Times New Roman"/>
          <w:sz w:val="28"/>
          <w:szCs w:val="28"/>
        </w:rPr>
        <w:t xml:space="preserve"> – Уровни зрелости промышленных компаний – активных потребителей</w:t>
      </w:r>
    </w:p>
    <w:tbl>
      <w:tblPr>
        <w:tblStyle w:val="a3"/>
        <w:tblW w:w="0" w:type="auto"/>
        <w:tblLook w:val="04A0" w:firstRow="1" w:lastRow="0" w:firstColumn="1" w:lastColumn="0" w:noHBand="0" w:noVBand="1"/>
      </w:tblPr>
      <w:tblGrid>
        <w:gridCol w:w="3190"/>
        <w:gridCol w:w="6149"/>
      </w:tblGrid>
      <w:tr w:rsidR="00EB26EF" w:rsidRPr="00EB26EF" w14:paraId="605C0869" w14:textId="77777777" w:rsidTr="00EB26EF">
        <w:tc>
          <w:tcPr>
            <w:tcW w:w="3227" w:type="dxa"/>
          </w:tcPr>
          <w:p w14:paraId="105556CB"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Уровень зрелости</w:t>
            </w:r>
          </w:p>
        </w:tc>
        <w:tc>
          <w:tcPr>
            <w:tcW w:w="6338" w:type="dxa"/>
          </w:tcPr>
          <w:p w14:paraId="34EF6E02"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Характеристика</w:t>
            </w:r>
          </w:p>
        </w:tc>
      </w:tr>
      <w:tr w:rsidR="00EB26EF" w:rsidRPr="00EB26EF" w14:paraId="0E9DCBE4" w14:textId="77777777" w:rsidTr="00EB26EF">
        <w:tc>
          <w:tcPr>
            <w:tcW w:w="3227" w:type="dxa"/>
          </w:tcPr>
          <w:p w14:paraId="45BB7B23"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 xml:space="preserve">I. Пассивный потребитель – наличие только технологий управления режимом энергопотребления </w:t>
            </w:r>
          </w:p>
        </w:tc>
        <w:tc>
          <w:tcPr>
            <w:tcW w:w="6338" w:type="dxa"/>
          </w:tcPr>
          <w:p w14:paraId="446FC322"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Управление режимом энергопотребления не осуществляется или осуществляется в ручном режиме, собственная генерация и накопители электроэнергии отсутствуют</w:t>
            </w:r>
          </w:p>
        </w:tc>
      </w:tr>
      <w:tr w:rsidR="00EB26EF" w:rsidRPr="00EB26EF" w14:paraId="50568FFC" w14:textId="77777777" w:rsidTr="00EB26EF">
        <w:tc>
          <w:tcPr>
            <w:tcW w:w="3227" w:type="dxa"/>
          </w:tcPr>
          <w:p w14:paraId="56A3A9D1"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II. Пассивный потребитель – имеются технологии, позволяющие управлять режимом энергопотребления, а также технологии распределенной генерации</w:t>
            </w:r>
          </w:p>
        </w:tc>
        <w:tc>
          <w:tcPr>
            <w:tcW w:w="6338" w:type="dxa"/>
          </w:tcPr>
          <w:p w14:paraId="5FB69569"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Снижение нагрузки в пиковые часы рынком не рассматривается как альтернатива загрузке резервной/пиковой генерации и рынком не оплачивается.</w:t>
            </w:r>
          </w:p>
          <w:p w14:paraId="7A8EB8DA"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Распределенная генерация осуществляет работу только в режиме выработки электроэнергии. Отсутствует возможность продажи электроэнергии на рынок. Технологии накопления электроэнергии отсутствуют</w:t>
            </w:r>
          </w:p>
        </w:tc>
      </w:tr>
      <w:tr w:rsidR="00EB26EF" w:rsidRPr="00EB26EF" w14:paraId="126D452B" w14:textId="77777777" w:rsidTr="00EB26EF">
        <w:tc>
          <w:tcPr>
            <w:tcW w:w="3227" w:type="dxa"/>
          </w:tcPr>
          <w:p w14:paraId="23DE9C14"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III. Условно – активный потребитель – имеются технологии, позволяющие управлять режимом энергопотребления, а также технологии распределенной генерации</w:t>
            </w:r>
          </w:p>
        </w:tc>
        <w:tc>
          <w:tcPr>
            <w:tcW w:w="6338" w:type="dxa"/>
          </w:tcPr>
          <w:p w14:paraId="2E166377"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Снижение нагрузки в пиковые часы рынком не рассматривается как альтернатива загрузке резервной/пиковой генерации и рынком не оплачивается.</w:t>
            </w:r>
          </w:p>
          <w:p w14:paraId="2BF2888D"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Распределенная генерация осуществляет работу только в режиме выработки электроэнергии. Имеется возможность продажи электроэнергии на рынок. Технологии накопления электроэнергии отсутствуют</w:t>
            </w:r>
          </w:p>
        </w:tc>
      </w:tr>
      <w:tr w:rsidR="00EB26EF" w:rsidRPr="00EB26EF" w14:paraId="3AF7372E" w14:textId="77777777" w:rsidTr="00EB26EF">
        <w:tc>
          <w:tcPr>
            <w:tcW w:w="3227" w:type="dxa"/>
          </w:tcPr>
          <w:p w14:paraId="05034217"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 xml:space="preserve">IV. Активный потребитель – имеются технологии, позволяющие управлять режимом энергопотребления, а также технологии распределенной генерации. Формируется стратегия энергопотребления </w:t>
            </w:r>
          </w:p>
        </w:tc>
        <w:tc>
          <w:tcPr>
            <w:tcW w:w="6338" w:type="dxa"/>
          </w:tcPr>
          <w:p w14:paraId="690B1A0F"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Автоматическое включение/отключение электроприборов,</w:t>
            </w:r>
          </w:p>
          <w:p w14:paraId="69F3AA02"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перенесение нагрузки во времени.</w:t>
            </w:r>
          </w:p>
          <w:p w14:paraId="43CDF288"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Определяется стратегия загрузки собственной генерации: объем потребления от нее и объем выдачи э/э в сеть</w:t>
            </w:r>
          </w:p>
          <w:p w14:paraId="4EDE2326"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Зарядка, продажа э/э в сеть или собственное потребление э/э</w:t>
            </w:r>
          </w:p>
        </w:tc>
      </w:tr>
      <w:tr w:rsidR="00EB26EF" w:rsidRPr="00EB26EF" w14:paraId="3A9E8F20" w14:textId="77777777" w:rsidTr="00EB26EF">
        <w:tc>
          <w:tcPr>
            <w:tcW w:w="3227" w:type="dxa"/>
          </w:tcPr>
          <w:p w14:paraId="390CB967"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 xml:space="preserve">V. Активный потребитель – имеются </w:t>
            </w:r>
            <w:r w:rsidRPr="00EB26EF">
              <w:rPr>
                <w:rFonts w:ascii="Times New Roman" w:hAnsi="Times New Roman" w:cs="Times New Roman"/>
                <w:sz w:val="28"/>
                <w:szCs w:val="28"/>
              </w:rPr>
              <w:lastRenderedPageBreak/>
              <w:t>все виды технологий ИЭС: управление режимом энергопотребления, собственная генерация, накопители электроэнергии</w:t>
            </w:r>
          </w:p>
        </w:tc>
        <w:tc>
          <w:tcPr>
            <w:tcW w:w="6338" w:type="dxa"/>
          </w:tcPr>
          <w:p w14:paraId="38316827"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lastRenderedPageBreak/>
              <w:t>Автоматическое отключение при участии в программах</w:t>
            </w:r>
          </w:p>
          <w:p w14:paraId="5A7581CC"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lastRenderedPageBreak/>
              <w:t>прерывания, перенесение нагрузки с получением</w:t>
            </w:r>
          </w:p>
          <w:p w14:paraId="690162F2"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соответствующей оплаты.</w:t>
            </w:r>
          </w:p>
          <w:p w14:paraId="753DD712"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Определяется стратегия загрузки собственной генерации:</w:t>
            </w:r>
          </w:p>
          <w:p w14:paraId="6070C2BA"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объем потребления от нее и объем выдачи э/э в сеть.</w:t>
            </w:r>
          </w:p>
          <w:p w14:paraId="60EB36B4" w14:textId="77777777" w:rsidR="00EB26EF" w:rsidRPr="00EB26EF" w:rsidRDefault="00EB26EF" w:rsidP="00776EE9">
            <w:pPr>
              <w:jc w:val="both"/>
              <w:rPr>
                <w:rFonts w:ascii="Times New Roman" w:hAnsi="Times New Roman" w:cs="Times New Roman"/>
                <w:sz w:val="28"/>
                <w:szCs w:val="28"/>
              </w:rPr>
            </w:pPr>
            <w:r w:rsidRPr="00EB26EF">
              <w:rPr>
                <w:rFonts w:ascii="Times New Roman" w:hAnsi="Times New Roman" w:cs="Times New Roman"/>
                <w:sz w:val="28"/>
                <w:szCs w:val="28"/>
              </w:rPr>
              <w:t>Зарядка, продажа э/э в сеть или собственное потребление э/э.</w:t>
            </w:r>
          </w:p>
        </w:tc>
      </w:tr>
    </w:tbl>
    <w:p w14:paraId="6FE5A280"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lastRenderedPageBreak/>
        <w:t>Источник: подготовлено авторами</w:t>
      </w:r>
    </w:p>
    <w:p w14:paraId="57980D92"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i/>
          <w:sz w:val="28"/>
          <w:szCs w:val="28"/>
        </w:rPr>
        <w:t>Четвертый этап</w:t>
      </w:r>
      <w:r w:rsidRPr="00EB26EF">
        <w:rPr>
          <w:rFonts w:ascii="Times New Roman" w:hAnsi="Times New Roman" w:cs="Times New Roman"/>
          <w:sz w:val="28"/>
          <w:szCs w:val="28"/>
        </w:rPr>
        <w:t>. На кейсах промышленных компаний, участников обследования (32 компании) мы провели анализ их «уровня зрелости».</w:t>
      </w:r>
    </w:p>
    <w:p w14:paraId="7F4D8AA7"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Большинство исследованных компаний находятся на второй стадии – «пассивный потребитель» (17 компаний из 26 или 65%). Еще пять компаний перешли на третий уровень «условно – активных потребителей» (19%), две компании можно отнести к четвертому уровню – активный потребитель (7,6%), и оставшиеся две – к первой группе «пассивных потребителей» (табл. </w:t>
      </w:r>
      <w:r w:rsidR="00776EE9">
        <w:rPr>
          <w:rFonts w:ascii="Times New Roman" w:hAnsi="Times New Roman" w:cs="Times New Roman"/>
          <w:sz w:val="28"/>
          <w:szCs w:val="28"/>
        </w:rPr>
        <w:t>3</w:t>
      </w:r>
      <w:r w:rsidRPr="00EB26EF">
        <w:rPr>
          <w:rFonts w:ascii="Times New Roman" w:hAnsi="Times New Roman" w:cs="Times New Roman"/>
          <w:sz w:val="28"/>
          <w:szCs w:val="28"/>
        </w:rPr>
        <w:t>).</w:t>
      </w:r>
    </w:p>
    <w:p w14:paraId="5CCD2918"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Таблица </w:t>
      </w:r>
      <w:r w:rsidR="00776EE9">
        <w:rPr>
          <w:rFonts w:ascii="Times New Roman" w:hAnsi="Times New Roman" w:cs="Times New Roman"/>
          <w:sz w:val="28"/>
          <w:szCs w:val="28"/>
        </w:rPr>
        <w:t>3</w:t>
      </w:r>
      <w:r w:rsidRPr="00EB26EF">
        <w:rPr>
          <w:rFonts w:ascii="Times New Roman" w:hAnsi="Times New Roman" w:cs="Times New Roman"/>
          <w:sz w:val="28"/>
          <w:szCs w:val="28"/>
        </w:rPr>
        <w:t xml:space="preserve"> – Характеристика «уровня зрелости» промышленных компаний – участников исследования</w:t>
      </w:r>
    </w:p>
    <w:tbl>
      <w:tblPr>
        <w:tblStyle w:val="a3"/>
        <w:tblW w:w="0" w:type="auto"/>
        <w:tblLayout w:type="fixed"/>
        <w:tblLook w:val="04A0" w:firstRow="1" w:lastRow="0" w:firstColumn="1" w:lastColumn="0" w:noHBand="0" w:noVBand="1"/>
      </w:tblPr>
      <w:tblGrid>
        <w:gridCol w:w="2660"/>
        <w:gridCol w:w="2268"/>
        <w:gridCol w:w="2330"/>
        <w:gridCol w:w="80"/>
        <w:gridCol w:w="2227"/>
      </w:tblGrid>
      <w:tr w:rsidR="00EB26EF" w:rsidRPr="00776EE9" w14:paraId="1322A7BE" w14:textId="77777777" w:rsidTr="00776EE9">
        <w:tc>
          <w:tcPr>
            <w:tcW w:w="2660" w:type="dxa"/>
            <w:vMerge w:val="restart"/>
            <w:tcBorders>
              <w:tr2bl w:val="single" w:sz="4" w:space="0" w:color="auto"/>
            </w:tcBorders>
          </w:tcPr>
          <w:p w14:paraId="45AE6472"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 xml:space="preserve">Характеристики кластеров </w:t>
            </w:r>
          </w:p>
          <w:p w14:paraId="4E504460" w14:textId="77777777" w:rsidR="00EB26EF" w:rsidRPr="00776EE9" w:rsidRDefault="00EB26EF" w:rsidP="00776EE9">
            <w:pPr>
              <w:jc w:val="both"/>
              <w:rPr>
                <w:rFonts w:ascii="Times New Roman" w:hAnsi="Times New Roman" w:cs="Times New Roman"/>
              </w:rPr>
            </w:pPr>
          </w:p>
          <w:p w14:paraId="785C0458" w14:textId="77777777" w:rsidR="00EB26EF" w:rsidRPr="00776EE9" w:rsidRDefault="00EB26EF" w:rsidP="00776EE9">
            <w:pPr>
              <w:jc w:val="both"/>
              <w:rPr>
                <w:rFonts w:ascii="Times New Roman" w:hAnsi="Times New Roman" w:cs="Times New Roman"/>
              </w:rPr>
            </w:pPr>
          </w:p>
          <w:p w14:paraId="7D1F8C44" w14:textId="77777777" w:rsidR="00EB26EF" w:rsidRPr="00776EE9" w:rsidRDefault="00EB26EF" w:rsidP="00776EE9">
            <w:pPr>
              <w:jc w:val="both"/>
              <w:rPr>
                <w:rFonts w:ascii="Times New Roman" w:hAnsi="Times New Roman" w:cs="Times New Roman"/>
              </w:rPr>
            </w:pPr>
          </w:p>
          <w:p w14:paraId="3E5506E9" w14:textId="77777777" w:rsidR="00EB26EF" w:rsidRPr="00776EE9" w:rsidRDefault="00EB26EF" w:rsidP="00776EE9">
            <w:pPr>
              <w:jc w:val="both"/>
              <w:rPr>
                <w:rFonts w:ascii="Times New Roman" w:hAnsi="Times New Roman" w:cs="Times New Roman"/>
              </w:rPr>
            </w:pPr>
          </w:p>
          <w:p w14:paraId="5EF6FC5F" w14:textId="77777777" w:rsidR="00EB26EF" w:rsidRPr="00776EE9" w:rsidRDefault="00EB26EF" w:rsidP="00776EE9">
            <w:pPr>
              <w:jc w:val="both"/>
              <w:rPr>
                <w:rFonts w:ascii="Times New Roman" w:hAnsi="Times New Roman" w:cs="Times New Roman"/>
              </w:rPr>
            </w:pPr>
          </w:p>
          <w:p w14:paraId="443CBFA6" w14:textId="77777777" w:rsidR="00EB26EF" w:rsidRPr="00776EE9" w:rsidRDefault="00EB26EF" w:rsidP="00776EE9">
            <w:pPr>
              <w:jc w:val="both"/>
              <w:rPr>
                <w:rFonts w:ascii="Times New Roman" w:hAnsi="Times New Roman" w:cs="Times New Roman"/>
              </w:rPr>
            </w:pPr>
          </w:p>
          <w:p w14:paraId="699115CC" w14:textId="77777777" w:rsidR="00EB26EF" w:rsidRPr="00776EE9" w:rsidRDefault="00EB26EF" w:rsidP="00776EE9">
            <w:pPr>
              <w:jc w:val="both"/>
              <w:rPr>
                <w:rFonts w:ascii="Times New Roman" w:hAnsi="Times New Roman" w:cs="Times New Roman"/>
              </w:rPr>
            </w:pPr>
          </w:p>
          <w:p w14:paraId="7DFE32C9" w14:textId="77777777" w:rsidR="00EB26EF" w:rsidRPr="00776EE9" w:rsidRDefault="00EB26EF" w:rsidP="00776EE9">
            <w:pPr>
              <w:jc w:val="both"/>
              <w:rPr>
                <w:rFonts w:ascii="Times New Roman" w:hAnsi="Times New Roman" w:cs="Times New Roman"/>
              </w:rPr>
            </w:pPr>
          </w:p>
          <w:p w14:paraId="1BEF36A4" w14:textId="77777777" w:rsidR="00EB26EF" w:rsidRPr="00776EE9" w:rsidRDefault="00EB26EF" w:rsidP="00776EE9">
            <w:pPr>
              <w:jc w:val="both"/>
              <w:rPr>
                <w:rFonts w:ascii="Times New Roman" w:hAnsi="Times New Roman" w:cs="Times New Roman"/>
              </w:rPr>
            </w:pPr>
          </w:p>
          <w:p w14:paraId="43100187" w14:textId="77777777" w:rsidR="00EB26EF" w:rsidRPr="00776EE9" w:rsidRDefault="00EB26EF" w:rsidP="00776EE9">
            <w:pPr>
              <w:jc w:val="both"/>
              <w:rPr>
                <w:rFonts w:ascii="Times New Roman" w:hAnsi="Times New Roman" w:cs="Times New Roman"/>
              </w:rPr>
            </w:pPr>
          </w:p>
          <w:p w14:paraId="58176A9D" w14:textId="77777777" w:rsidR="00EB26EF" w:rsidRPr="00776EE9" w:rsidRDefault="00EB26EF" w:rsidP="00776EE9">
            <w:pPr>
              <w:jc w:val="both"/>
              <w:rPr>
                <w:rFonts w:ascii="Times New Roman" w:hAnsi="Times New Roman" w:cs="Times New Roman"/>
              </w:rPr>
            </w:pPr>
          </w:p>
          <w:p w14:paraId="1561E952" w14:textId="77777777" w:rsidR="00EB26EF" w:rsidRPr="00776EE9" w:rsidRDefault="00EB26EF" w:rsidP="00776EE9">
            <w:pPr>
              <w:jc w:val="both"/>
              <w:rPr>
                <w:rFonts w:ascii="Times New Roman" w:hAnsi="Times New Roman" w:cs="Times New Roman"/>
              </w:rPr>
            </w:pPr>
          </w:p>
          <w:p w14:paraId="6840B1EC" w14:textId="77777777" w:rsidR="00EB26EF" w:rsidRPr="00776EE9" w:rsidRDefault="00EB26EF" w:rsidP="00776EE9">
            <w:pPr>
              <w:jc w:val="both"/>
              <w:rPr>
                <w:rFonts w:ascii="Times New Roman" w:hAnsi="Times New Roman" w:cs="Times New Roman"/>
              </w:rPr>
            </w:pPr>
          </w:p>
          <w:p w14:paraId="14F6A159" w14:textId="77777777" w:rsidR="00776EE9" w:rsidRDefault="00776EE9" w:rsidP="00776EE9">
            <w:pPr>
              <w:jc w:val="both"/>
              <w:rPr>
                <w:rFonts w:ascii="Times New Roman" w:hAnsi="Times New Roman" w:cs="Times New Roman"/>
              </w:rPr>
            </w:pPr>
          </w:p>
          <w:p w14:paraId="54989B6A" w14:textId="77777777" w:rsidR="00776EE9" w:rsidRDefault="00776EE9" w:rsidP="00776EE9">
            <w:pPr>
              <w:jc w:val="both"/>
              <w:rPr>
                <w:rFonts w:ascii="Times New Roman" w:hAnsi="Times New Roman" w:cs="Times New Roman"/>
              </w:rPr>
            </w:pPr>
          </w:p>
          <w:p w14:paraId="7D8F014E" w14:textId="77777777" w:rsidR="00776EE9" w:rsidRDefault="00776EE9" w:rsidP="00776EE9">
            <w:pPr>
              <w:jc w:val="both"/>
              <w:rPr>
                <w:rFonts w:ascii="Times New Roman" w:hAnsi="Times New Roman" w:cs="Times New Roman"/>
              </w:rPr>
            </w:pPr>
          </w:p>
          <w:p w14:paraId="7231F855" w14:textId="77777777" w:rsidR="00776EE9" w:rsidRDefault="00776EE9" w:rsidP="00776EE9">
            <w:pPr>
              <w:jc w:val="both"/>
              <w:rPr>
                <w:rFonts w:ascii="Times New Roman" w:hAnsi="Times New Roman" w:cs="Times New Roman"/>
              </w:rPr>
            </w:pPr>
          </w:p>
          <w:p w14:paraId="0210BD68"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Характеристики компаний</w:t>
            </w:r>
          </w:p>
        </w:tc>
        <w:tc>
          <w:tcPr>
            <w:tcW w:w="2268" w:type="dxa"/>
          </w:tcPr>
          <w:p w14:paraId="573F013E"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Кластер 1 – активный потребитель</w:t>
            </w:r>
          </w:p>
        </w:tc>
        <w:tc>
          <w:tcPr>
            <w:tcW w:w="2330" w:type="dxa"/>
          </w:tcPr>
          <w:p w14:paraId="271F85CA"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Кластер 2 – условно – активный потребитель</w:t>
            </w:r>
          </w:p>
        </w:tc>
        <w:tc>
          <w:tcPr>
            <w:tcW w:w="2307" w:type="dxa"/>
            <w:gridSpan w:val="2"/>
          </w:tcPr>
          <w:p w14:paraId="7F5C4DD4"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Кластер 3 – пассивный потребитель</w:t>
            </w:r>
          </w:p>
        </w:tc>
      </w:tr>
      <w:tr w:rsidR="00EB26EF" w:rsidRPr="00776EE9" w14:paraId="5D61F683" w14:textId="77777777" w:rsidTr="00776EE9">
        <w:tc>
          <w:tcPr>
            <w:tcW w:w="2660" w:type="dxa"/>
            <w:vMerge/>
          </w:tcPr>
          <w:p w14:paraId="3389E2E4" w14:textId="77777777" w:rsidR="00EB26EF" w:rsidRPr="00776EE9" w:rsidRDefault="00EB26EF" w:rsidP="00776EE9">
            <w:pPr>
              <w:jc w:val="both"/>
              <w:rPr>
                <w:rFonts w:ascii="Times New Roman" w:hAnsi="Times New Roman" w:cs="Times New Roman"/>
              </w:rPr>
            </w:pPr>
          </w:p>
        </w:tc>
        <w:tc>
          <w:tcPr>
            <w:tcW w:w="2268" w:type="dxa"/>
          </w:tcPr>
          <w:p w14:paraId="4BD20784"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Есть возможность для регулирования нагрузки;</w:t>
            </w:r>
          </w:p>
          <w:p w14:paraId="53771FC1"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Готовность участия в регулировании нагрузки;</w:t>
            </w:r>
          </w:p>
          <w:p w14:paraId="1C0A0FEC"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Готовность выполнять активные действия</w:t>
            </w:r>
          </w:p>
        </w:tc>
        <w:tc>
          <w:tcPr>
            <w:tcW w:w="2330" w:type="dxa"/>
          </w:tcPr>
          <w:p w14:paraId="49119E49"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Есть возможность для регулирования нагрузки;</w:t>
            </w:r>
          </w:p>
          <w:p w14:paraId="43F23049"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Готовность участия в регулировании нагрузки;</w:t>
            </w:r>
          </w:p>
          <w:p w14:paraId="3D332B39"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Отсутствие готовности выполнять активные действия</w:t>
            </w:r>
          </w:p>
        </w:tc>
        <w:tc>
          <w:tcPr>
            <w:tcW w:w="2307" w:type="dxa"/>
            <w:gridSpan w:val="2"/>
          </w:tcPr>
          <w:p w14:paraId="6F0E0737"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Нет возможности для регулирования нагрузки;</w:t>
            </w:r>
          </w:p>
          <w:p w14:paraId="0837BD33"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Есть возможность для регулирования нагрузки, но отсутствует готовность участия в регулировании нагрузки</w:t>
            </w:r>
          </w:p>
        </w:tc>
      </w:tr>
      <w:tr w:rsidR="00EB26EF" w:rsidRPr="00776EE9" w14:paraId="4BF72C3B" w14:textId="77777777" w:rsidTr="00776EE9">
        <w:tc>
          <w:tcPr>
            <w:tcW w:w="2660" w:type="dxa"/>
            <w:vMerge/>
          </w:tcPr>
          <w:p w14:paraId="123AE725" w14:textId="77777777" w:rsidR="00EB26EF" w:rsidRPr="00776EE9" w:rsidRDefault="00EB26EF" w:rsidP="00776EE9">
            <w:pPr>
              <w:jc w:val="both"/>
              <w:rPr>
                <w:rFonts w:ascii="Times New Roman" w:hAnsi="Times New Roman" w:cs="Times New Roman"/>
              </w:rPr>
            </w:pPr>
          </w:p>
        </w:tc>
        <w:tc>
          <w:tcPr>
            <w:tcW w:w="6905" w:type="dxa"/>
            <w:gridSpan w:val="4"/>
          </w:tcPr>
          <w:p w14:paraId="78C22AF7"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Процент компаний, обладающих данной характеристикой в кластере</w:t>
            </w:r>
          </w:p>
        </w:tc>
      </w:tr>
      <w:tr w:rsidR="00EB26EF" w:rsidRPr="00776EE9" w14:paraId="7F11925B" w14:textId="77777777" w:rsidTr="00776EE9">
        <w:tc>
          <w:tcPr>
            <w:tcW w:w="2660" w:type="dxa"/>
          </w:tcPr>
          <w:p w14:paraId="6468BFDA"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lastRenderedPageBreak/>
              <w:t xml:space="preserve">Компания использует различные варианты энергообеспечения </w:t>
            </w:r>
          </w:p>
        </w:tc>
        <w:tc>
          <w:tcPr>
            <w:tcW w:w="2268" w:type="dxa"/>
            <w:vAlign w:val="center"/>
          </w:tcPr>
          <w:p w14:paraId="21950808"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100</w:t>
            </w:r>
          </w:p>
        </w:tc>
        <w:tc>
          <w:tcPr>
            <w:tcW w:w="2410" w:type="dxa"/>
            <w:gridSpan w:val="2"/>
            <w:vAlign w:val="center"/>
          </w:tcPr>
          <w:p w14:paraId="6D61DBB7"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80</w:t>
            </w:r>
          </w:p>
        </w:tc>
        <w:tc>
          <w:tcPr>
            <w:tcW w:w="2227" w:type="dxa"/>
            <w:vAlign w:val="center"/>
          </w:tcPr>
          <w:p w14:paraId="5E370040"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70</w:t>
            </w:r>
          </w:p>
        </w:tc>
      </w:tr>
      <w:tr w:rsidR="00EB26EF" w:rsidRPr="00776EE9" w14:paraId="1C25363E" w14:textId="77777777" w:rsidTr="00776EE9">
        <w:tc>
          <w:tcPr>
            <w:tcW w:w="2660" w:type="dxa"/>
          </w:tcPr>
          <w:p w14:paraId="6028979B"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Компания не только покупает электроэнергию, но и продает ее</w:t>
            </w:r>
          </w:p>
        </w:tc>
        <w:tc>
          <w:tcPr>
            <w:tcW w:w="2268" w:type="dxa"/>
            <w:vAlign w:val="center"/>
          </w:tcPr>
          <w:p w14:paraId="104CFA8A"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50</w:t>
            </w:r>
          </w:p>
        </w:tc>
        <w:tc>
          <w:tcPr>
            <w:tcW w:w="2410" w:type="dxa"/>
            <w:gridSpan w:val="2"/>
            <w:vAlign w:val="center"/>
          </w:tcPr>
          <w:p w14:paraId="743442D1"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20</w:t>
            </w:r>
          </w:p>
        </w:tc>
        <w:tc>
          <w:tcPr>
            <w:tcW w:w="2227" w:type="dxa"/>
            <w:vAlign w:val="center"/>
          </w:tcPr>
          <w:p w14:paraId="13F43F18"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w:t>
            </w:r>
          </w:p>
        </w:tc>
      </w:tr>
      <w:tr w:rsidR="00EB26EF" w:rsidRPr="00776EE9" w14:paraId="15F9EF81" w14:textId="77777777" w:rsidTr="00776EE9">
        <w:tc>
          <w:tcPr>
            <w:tcW w:w="2660" w:type="dxa"/>
          </w:tcPr>
          <w:p w14:paraId="5A9E96AE"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 xml:space="preserve">Компания управляет графиком энергопотребления и загрузки мощностей </w:t>
            </w:r>
          </w:p>
        </w:tc>
        <w:tc>
          <w:tcPr>
            <w:tcW w:w="2268" w:type="dxa"/>
            <w:vAlign w:val="center"/>
          </w:tcPr>
          <w:p w14:paraId="110766DB"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100</w:t>
            </w:r>
          </w:p>
        </w:tc>
        <w:tc>
          <w:tcPr>
            <w:tcW w:w="2410" w:type="dxa"/>
            <w:gridSpan w:val="2"/>
            <w:vAlign w:val="center"/>
          </w:tcPr>
          <w:p w14:paraId="6401AAA3"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80</w:t>
            </w:r>
          </w:p>
        </w:tc>
        <w:tc>
          <w:tcPr>
            <w:tcW w:w="2227" w:type="dxa"/>
            <w:vAlign w:val="center"/>
          </w:tcPr>
          <w:p w14:paraId="2EFC0935"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55</w:t>
            </w:r>
          </w:p>
        </w:tc>
      </w:tr>
      <w:tr w:rsidR="00EB26EF" w:rsidRPr="00776EE9" w14:paraId="5C3ACAEC" w14:textId="77777777" w:rsidTr="00776EE9">
        <w:tc>
          <w:tcPr>
            <w:tcW w:w="2660" w:type="dxa"/>
          </w:tcPr>
          <w:p w14:paraId="3065D2A6"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Компания использует возобновляемые источники электроэнергии</w:t>
            </w:r>
          </w:p>
        </w:tc>
        <w:tc>
          <w:tcPr>
            <w:tcW w:w="2268" w:type="dxa"/>
            <w:vAlign w:val="center"/>
          </w:tcPr>
          <w:p w14:paraId="4D4EF947"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50</w:t>
            </w:r>
          </w:p>
        </w:tc>
        <w:tc>
          <w:tcPr>
            <w:tcW w:w="2410" w:type="dxa"/>
            <w:gridSpan w:val="2"/>
            <w:vAlign w:val="center"/>
          </w:tcPr>
          <w:p w14:paraId="69BE03DD"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20</w:t>
            </w:r>
          </w:p>
        </w:tc>
        <w:tc>
          <w:tcPr>
            <w:tcW w:w="2227" w:type="dxa"/>
            <w:vAlign w:val="center"/>
          </w:tcPr>
          <w:p w14:paraId="39A724C7"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w:t>
            </w:r>
          </w:p>
        </w:tc>
      </w:tr>
      <w:tr w:rsidR="00EB26EF" w:rsidRPr="00776EE9" w14:paraId="577A6F02" w14:textId="77777777" w:rsidTr="00776EE9">
        <w:tc>
          <w:tcPr>
            <w:tcW w:w="2660" w:type="dxa"/>
          </w:tcPr>
          <w:p w14:paraId="56879766"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Компания использует данные для автоматизации операционной деятельности</w:t>
            </w:r>
          </w:p>
        </w:tc>
        <w:tc>
          <w:tcPr>
            <w:tcW w:w="2268" w:type="dxa"/>
            <w:vAlign w:val="center"/>
          </w:tcPr>
          <w:p w14:paraId="2AC811D4"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100</w:t>
            </w:r>
          </w:p>
        </w:tc>
        <w:tc>
          <w:tcPr>
            <w:tcW w:w="2410" w:type="dxa"/>
            <w:gridSpan w:val="2"/>
            <w:vAlign w:val="center"/>
          </w:tcPr>
          <w:p w14:paraId="5860A976"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100</w:t>
            </w:r>
          </w:p>
        </w:tc>
        <w:tc>
          <w:tcPr>
            <w:tcW w:w="2227" w:type="dxa"/>
            <w:vAlign w:val="center"/>
          </w:tcPr>
          <w:p w14:paraId="0F51FD98"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11</w:t>
            </w:r>
          </w:p>
        </w:tc>
      </w:tr>
      <w:tr w:rsidR="00EB26EF" w:rsidRPr="00776EE9" w14:paraId="642E6FAA" w14:textId="77777777" w:rsidTr="00776EE9">
        <w:tc>
          <w:tcPr>
            <w:tcW w:w="2660" w:type="dxa"/>
          </w:tcPr>
          <w:p w14:paraId="0F0181D0"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Компания использует аналитики для оптимизации движения электроэнергии</w:t>
            </w:r>
          </w:p>
        </w:tc>
        <w:tc>
          <w:tcPr>
            <w:tcW w:w="2268" w:type="dxa"/>
            <w:vAlign w:val="center"/>
          </w:tcPr>
          <w:p w14:paraId="47DDB31F"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50</w:t>
            </w:r>
          </w:p>
        </w:tc>
        <w:tc>
          <w:tcPr>
            <w:tcW w:w="2410" w:type="dxa"/>
            <w:gridSpan w:val="2"/>
            <w:vAlign w:val="center"/>
          </w:tcPr>
          <w:p w14:paraId="1F2D8CB2"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20</w:t>
            </w:r>
          </w:p>
        </w:tc>
        <w:tc>
          <w:tcPr>
            <w:tcW w:w="2227" w:type="dxa"/>
            <w:vAlign w:val="center"/>
          </w:tcPr>
          <w:p w14:paraId="317B59BD"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11</w:t>
            </w:r>
          </w:p>
        </w:tc>
      </w:tr>
      <w:tr w:rsidR="00EB26EF" w:rsidRPr="00776EE9" w14:paraId="79776483" w14:textId="77777777" w:rsidTr="00776EE9">
        <w:tc>
          <w:tcPr>
            <w:tcW w:w="2660" w:type="dxa"/>
          </w:tcPr>
          <w:p w14:paraId="647EBBF3"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Компания использует автоматизированные системы для работы с потребителями и поставщиками</w:t>
            </w:r>
          </w:p>
        </w:tc>
        <w:tc>
          <w:tcPr>
            <w:tcW w:w="2268" w:type="dxa"/>
            <w:vAlign w:val="center"/>
          </w:tcPr>
          <w:p w14:paraId="6CFD4865"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100</w:t>
            </w:r>
          </w:p>
        </w:tc>
        <w:tc>
          <w:tcPr>
            <w:tcW w:w="2410" w:type="dxa"/>
            <w:gridSpan w:val="2"/>
            <w:vAlign w:val="center"/>
          </w:tcPr>
          <w:p w14:paraId="4BCF32D7"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60</w:t>
            </w:r>
          </w:p>
        </w:tc>
        <w:tc>
          <w:tcPr>
            <w:tcW w:w="2227" w:type="dxa"/>
            <w:vAlign w:val="center"/>
          </w:tcPr>
          <w:p w14:paraId="66DE4E86"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32</w:t>
            </w:r>
          </w:p>
        </w:tc>
      </w:tr>
      <w:tr w:rsidR="00EB26EF" w:rsidRPr="00776EE9" w14:paraId="72A26346" w14:textId="77777777" w:rsidTr="00776EE9">
        <w:tc>
          <w:tcPr>
            <w:tcW w:w="2660" w:type="dxa"/>
          </w:tcPr>
          <w:p w14:paraId="7457DCC3"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Число компаний в кластере</w:t>
            </w:r>
          </w:p>
        </w:tc>
        <w:tc>
          <w:tcPr>
            <w:tcW w:w="2268" w:type="dxa"/>
            <w:vAlign w:val="center"/>
          </w:tcPr>
          <w:p w14:paraId="69BD29AF"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2</w:t>
            </w:r>
          </w:p>
        </w:tc>
        <w:tc>
          <w:tcPr>
            <w:tcW w:w="2410" w:type="dxa"/>
            <w:gridSpan w:val="2"/>
            <w:vAlign w:val="center"/>
          </w:tcPr>
          <w:p w14:paraId="18F520BA"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5</w:t>
            </w:r>
          </w:p>
        </w:tc>
        <w:tc>
          <w:tcPr>
            <w:tcW w:w="2227" w:type="dxa"/>
            <w:vAlign w:val="center"/>
          </w:tcPr>
          <w:p w14:paraId="0EF5469B"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19</w:t>
            </w:r>
          </w:p>
        </w:tc>
      </w:tr>
    </w:tbl>
    <w:p w14:paraId="5AC772C2"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i/>
          <w:sz w:val="28"/>
          <w:szCs w:val="28"/>
        </w:rPr>
        <w:t>Пятый этап</w:t>
      </w:r>
      <w:r w:rsidRPr="00EB26EF">
        <w:rPr>
          <w:rFonts w:ascii="Times New Roman" w:hAnsi="Times New Roman" w:cs="Times New Roman"/>
          <w:sz w:val="28"/>
          <w:szCs w:val="28"/>
        </w:rPr>
        <w:t xml:space="preserve">. На заключительном этапе нами были разработаны мероприятия для достижения рассмотренными предприятиями целевого состояния и вовлечение промышленных компаний через механизм управления спросом (табл. </w:t>
      </w:r>
      <w:r w:rsidR="00776EE9">
        <w:rPr>
          <w:rFonts w:ascii="Times New Roman" w:hAnsi="Times New Roman" w:cs="Times New Roman"/>
          <w:sz w:val="28"/>
          <w:szCs w:val="28"/>
        </w:rPr>
        <w:t>4</w:t>
      </w:r>
      <w:r w:rsidRPr="00EB26EF">
        <w:rPr>
          <w:rFonts w:ascii="Times New Roman" w:hAnsi="Times New Roman" w:cs="Times New Roman"/>
          <w:sz w:val="28"/>
          <w:szCs w:val="28"/>
        </w:rPr>
        <w:t xml:space="preserve">). </w:t>
      </w:r>
    </w:p>
    <w:p w14:paraId="308A5FE8"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Таблица </w:t>
      </w:r>
      <w:r w:rsidR="00776EE9">
        <w:rPr>
          <w:rFonts w:ascii="Times New Roman" w:hAnsi="Times New Roman" w:cs="Times New Roman"/>
          <w:sz w:val="28"/>
          <w:szCs w:val="28"/>
        </w:rPr>
        <w:t>4</w:t>
      </w:r>
      <w:r w:rsidRPr="00EB26EF">
        <w:rPr>
          <w:rFonts w:ascii="Times New Roman" w:hAnsi="Times New Roman" w:cs="Times New Roman"/>
          <w:sz w:val="28"/>
          <w:szCs w:val="28"/>
        </w:rPr>
        <w:t xml:space="preserve"> – Кластеры компаний по уровню зрелости</w:t>
      </w:r>
    </w:p>
    <w:tbl>
      <w:tblPr>
        <w:tblStyle w:val="a3"/>
        <w:tblW w:w="0" w:type="auto"/>
        <w:tblLook w:val="04A0" w:firstRow="1" w:lastRow="0" w:firstColumn="1" w:lastColumn="0" w:noHBand="0" w:noVBand="1"/>
      </w:tblPr>
      <w:tblGrid>
        <w:gridCol w:w="1947"/>
        <w:gridCol w:w="2470"/>
        <w:gridCol w:w="2470"/>
        <w:gridCol w:w="2452"/>
      </w:tblGrid>
      <w:tr w:rsidR="00EB26EF" w:rsidRPr="00EB26EF" w14:paraId="5400CE17" w14:textId="77777777" w:rsidTr="00EB26EF">
        <w:tc>
          <w:tcPr>
            <w:tcW w:w="2284" w:type="dxa"/>
          </w:tcPr>
          <w:p w14:paraId="478E228B"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Кластеры потребителей</w:t>
            </w:r>
          </w:p>
        </w:tc>
        <w:tc>
          <w:tcPr>
            <w:tcW w:w="2347" w:type="dxa"/>
          </w:tcPr>
          <w:p w14:paraId="32D0117A"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Кластер 1 – активный потребитель</w:t>
            </w:r>
          </w:p>
        </w:tc>
        <w:tc>
          <w:tcPr>
            <w:tcW w:w="2631" w:type="dxa"/>
          </w:tcPr>
          <w:p w14:paraId="733B4D22"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Кластер 2 – условно – активный потребитель</w:t>
            </w:r>
          </w:p>
        </w:tc>
        <w:tc>
          <w:tcPr>
            <w:tcW w:w="2303" w:type="dxa"/>
          </w:tcPr>
          <w:p w14:paraId="450B0D0F"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Кластер 3 – пассивный потребитель</w:t>
            </w:r>
          </w:p>
        </w:tc>
      </w:tr>
      <w:tr w:rsidR="00EB26EF" w:rsidRPr="00EB26EF" w14:paraId="548BFF95" w14:textId="77777777" w:rsidTr="00EB26EF">
        <w:tc>
          <w:tcPr>
            <w:tcW w:w="2284" w:type="dxa"/>
          </w:tcPr>
          <w:p w14:paraId="3DEF39CC"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Характеристика кластеров</w:t>
            </w:r>
          </w:p>
        </w:tc>
        <w:tc>
          <w:tcPr>
            <w:tcW w:w="2347" w:type="dxa"/>
          </w:tcPr>
          <w:p w14:paraId="1D89211A"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Есть возможность для регулирования нагрузки;</w:t>
            </w:r>
          </w:p>
          <w:p w14:paraId="30C79BB1"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Готовность участия в регулировании нагрузки;</w:t>
            </w:r>
          </w:p>
          <w:p w14:paraId="74ACA672"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lastRenderedPageBreak/>
              <w:t>Готовность выполнять активные действия</w:t>
            </w:r>
          </w:p>
        </w:tc>
        <w:tc>
          <w:tcPr>
            <w:tcW w:w="2631" w:type="dxa"/>
          </w:tcPr>
          <w:p w14:paraId="1E7A58C1"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lastRenderedPageBreak/>
              <w:t>Есть возможность для регулирования нагрузки;</w:t>
            </w:r>
          </w:p>
          <w:p w14:paraId="56ABA8F9"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t>Готовность участия в регулировании нагрузки;</w:t>
            </w:r>
          </w:p>
          <w:p w14:paraId="127E2F87"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lastRenderedPageBreak/>
              <w:t>Отсутствие готовности выполнять активные действия</w:t>
            </w:r>
          </w:p>
        </w:tc>
        <w:tc>
          <w:tcPr>
            <w:tcW w:w="2303" w:type="dxa"/>
          </w:tcPr>
          <w:p w14:paraId="0DF20412" w14:textId="77777777" w:rsidR="00EB26EF" w:rsidRPr="00776EE9" w:rsidRDefault="00EB26EF" w:rsidP="00776EE9">
            <w:pPr>
              <w:numPr>
                <w:ilvl w:val="0"/>
                <w:numId w:val="3"/>
              </w:numPr>
              <w:jc w:val="both"/>
              <w:rPr>
                <w:rFonts w:ascii="Times New Roman" w:hAnsi="Times New Roman" w:cs="Times New Roman"/>
              </w:rPr>
            </w:pPr>
            <w:r w:rsidRPr="00776EE9">
              <w:rPr>
                <w:rFonts w:ascii="Times New Roman" w:hAnsi="Times New Roman" w:cs="Times New Roman"/>
              </w:rPr>
              <w:lastRenderedPageBreak/>
              <w:t>Нет возможности для регулирования нагрузки;</w:t>
            </w:r>
          </w:p>
          <w:p w14:paraId="1892D898"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 xml:space="preserve">Есть возможность для регулирования нагрузки, но отсутствует </w:t>
            </w:r>
            <w:r w:rsidRPr="00776EE9">
              <w:rPr>
                <w:rFonts w:ascii="Times New Roman" w:hAnsi="Times New Roman" w:cs="Times New Roman"/>
              </w:rPr>
              <w:lastRenderedPageBreak/>
              <w:t>готовность участия в регулировании нагрузки</w:t>
            </w:r>
          </w:p>
        </w:tc>
      </w:tr>
      <w:tr w:rsidR="00EB26EF" w:rsidRPr="00EB26EF" w14:paraId="34D74FB4" w14:textId="77777777" w:rsidTr="00EB26EF">
        <w:tc>
          <w:tcPr>
            <w:tcW w:w="2284" w:type="dxa"/>
          </w:tcPr>
          <w:p w14:paraId="19D8D218"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lastRenderedPageBreak/>
              <w:t>Степень вовлеченности</w:t>
            </w:r>
          </w:p>
        </w:tc>
        <w:tc>
          <w:tcPr>
            <w:tcW w:w="2347" w:type="dxa"/>
          </w:tcPr>
          <w:p w14:paraId="2E00A9D4"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 xml:space="preserve">Высокая </w:t>
            </w:r>
          </w:p>
        </w:tc>
        <w:tc>
          <w:tcPr>
            <w:tcW w:w="2631" w:type="dxa"/>
          </w:tcPr>
          <w:p w14:paraId="6A7FEBF3"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Средняя</w:t>
            </w:r>
          </w:p>
        </w:tc>
        <w:tc>
          <w:tcPr>
            <w:tcW w:w="2303" w:type="dxa"/>
          </w:tcPr>
          <w:p w14:paraId="488BC37C"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Низкая</w:t>
            </w:r>
          </w:p>
        </w:tc>
      </w:tr>
      <w:tr w:rsidR="00EB26EF" w:rsidRPr="00EB26EF" w14:paraId="6C345F63" w14:textId="77777777" w:rsidTr="00EB26EF">
        <w:tc>
          <w:tcPr>
            <w:tcW w:w="2284" w:type="dxa"/>
          </w:tcPr>
          <w:p w14:paraId="43197632"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rPr>
              <w:t>Вовлечение потребителей в цепочку создания ценности (управление спросом на электроэнергию)</w:t>
            </w:r>
          </w:p>
        </w:tc>
        <w:tc>
          <w:tcPr>
            <w:tcW w:w="2347" w:type="dxa"/>
          </w:tcPr>
          <w:p w14:paraId="42D832C8"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i/>
              </w:rPr>
              <w:t>Активное</w:t>
            </w:r>
            <w:r w:rsidRPr="00776EE9">
              <w:rPr>
                <w:rFonts w:ascii="Times New Roman" w:hAnsi="Times New Roman" w:cs="Times New Roman"/>
              </w:rPr>
              <w:t>: самостоятельное участие потребителей в программах управления нагрузкой</w:t>
            </w:r>
          </w:p>
        </w:tc>
        <w:tc>
          <w:tcPr>
            <w:tcW w:w="2631" w:type="dxa"/>
          </w:tcPr>
          <w:p w14:paraId="7B20FB98"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i/>
              </w:rPr>
              <w:t>Активное</w:t>
            </w:r>
            <w:r w:rsidRPr="00776EE9">
              <w:rPr>
                <w:rFonts w:ascii="Times New Roman" w:hAnsi="Times New Roman" w:cs="Times New Roman"/>
              </w:rPr>
              <w:t>: Переход на использование энергоэффективных технологий</w:t>
            </w:r>
          </w:p>
          <w:p w14:paraId="3B60E75C" w14:textId="77777777" w:rsidR="00EB26EF" w:rsidRPr="00776EE9" w:rsidRDefault="00EB26EF" w:rsidP="00776EE9">
            <w:pPr>
              <w:jc w:val="both"/>
              <w:rPr>
                <w:rFonts w:ascii="Times New Roman" w:hAnsi="Times New Roman" w:cs="Times New Roman"/>
              </w:rPr>
            </w:pPr>
          </w:p>
        </w:tc>
        <w:tc>
          <w:tcPr>
            <w:tcW w:w="2303" w:type="dxa"/>
          </w:tcPr>
          <w:p w14:paraId="0F98990E" w14:textId="77777777" w:rsidR="00EB26EF" w:rsidRPr="00776EE9" w:rsidRDefault="00EB26EF" w:rsidP="00776EE9">
            <w:pPr>
              <w:jc w:val="both"/>
              <w:rPr>
                <w:rFonts w:ascii="Times New Roman" w:hAnsi="Times New Roman" w:cs="Times New Roman"/>
              </w:rPr>
            </w:pPr>
            <w:r w:rsidRPr="00776EE9">
              <w:rPr>
                <w:rFonts w:ascii="Times New Roman" w:hAnsi="Times New Roman" w:cs="Times New Roman"/>
                <w:i/>
              </w:rPr>
              <w:t>Пассивное</w:t>
            </w:r>
            <w:r w:rsidRPr="00776EE9">
              <w:rPr>
                <w:rFonts w:ascii="Times New Roman" w:hAnsi="Times New Roman" w:cs="Times New Roman"/>
              </w:rPr>
              <w:t>: через регулирование, установление технических требований</w:t>
            </w:r>
          </w:p>
        </w:tc>
      </w:tr>
    </w:tbl>
    <w:p w14:paraId="303C46BC"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Источник: подготовлено авторами</w:t>
      </w:r>
    </w:p>
    <w:p w14:paraId="1372782F" w14:textId="77777777" w:rsidR="00EB26EF" w:rsidRPr="00EB26EF" w:rsidRDefault="00EB26EF" w:rsidP="00776EE9">
      <w:pPr>
        <w:spacing w:line="360" w:lineRule="auto"/>
        <w:ind w:firstLine="708"/>
        <w:jc w:val="both"/>
        <w:rPr>
          <w:rFonts w:ascii="Times New Roman" w:hAnsi="Times New Roman" w:cs="Times New Roman"/>
          <w:sz w:val="28"/>
          <w:szCs w:val="28"/>
        </w:rPr>
      </w:pPr>
      <w:r w:rsidRPr="00EB26EF">
        <w:rPr>
          <w:rFonts w:ascii="Times New Roman" w:hAnsi="Times New Roman" w:cs="Times New Roman"/>
          <w:sz w:val="28"/>
          <w:szCs w:val="28"/>
        </w:rPr>
        <w:t>Анализ показывает, что большинство обследованных компаний находится на второй стадии – пассивных потребителей. Для того, чтобы компании могли перейти на следующий третий «уровень зрелости» - условно – активно потребителя необходима трансформация бизнес – моделей на электроэнергетическом рынке, «поведенческое» вовлечение потребителей в управление спросом и «аналитическое» управление спросом, позволяющее использование расширенных данных о функционировании оборудования и потреблении электроэнергии для выявления возможностей оптимизации нагрузки.</w:t>
      </w:r>
    </w:p>
    <w:p w14:paraId="29796D68" w14:textId="77777777" w:rsidR="00EB26EF" w:rsidRPr="00EB26EF" w:rsidRDefault="00EB26EF" w:rsidP="00776EE9">
      <w:pPr>
        <w:spacing w:line="360" w:lineRule="auto"/>
        <w:ind w:firstLine="708"/>
        <w:jc w:val="both"/>
        <w:rPr>
          <w:rFonts w:ascii="Times New Roman" w:hAnsi="Times New Roman" w:cs="Times New Roman"/>
          <w:sz w:val="28"/>
          <w:szCs w:val="28"/>
        </w:rPr>
      </w:pPr>
      <w:r w:rsidRPr="00EB26EF">
        <w:rPr>
          <w:rFonts w:ascii="Times New Roman" w:hAnsi="Times New Roman" w:cs="Times New Roman"/>
          <w:sz w:val="28"/>
          <w:szCs w:val="28"/>
        </w:rPr>
        <w:t xml:space="preserve">Участие крупных потребителей оптового рынка в управлении спросом достигается открытием различных сегментов рынка для их участия – т.е. созданием условий, обеспечивающих возможность их конкуренции с генерирующими объектами, и соответствующих экономических стимулов. Внедрение программ управления спросом обычно начинается с вовлечения таких потребителей, однако потенциал их участия обычно ограничен: таких потребителей относительно немного и, являясь квалифицированными участниками рынка электроэнергии, они в значительной степени уже используют потенциал гибкости своего потребления для оптимизации затрат и до внедрения механизмов явного управления спросом. При этом </w:t>
      </w:r>
      <w:r w:rsidRPr="00EB26EF">
        <w:rPr>
          <w:rFonts w:ascii="Times New Roman" w:hAnsi="Times New Roman" w:cs="Times New Roman"/>
          <w:sz w:val="28"/>
          <w:szCs w:val="28"/>
        </w:rPr>
        <w:lastRenderedPageBreak/>
        <w:t xml:space="preserve">значительный потенциал управления спросом находится на стороне небольших, в том числе, розничных потребителей электроэнергии. </w:t>
      </w:r>
    </w:p>
    <w:p w14:paraId="3266E974"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На организованных рынках электроэнергии обычно предъявляются минимальные количественные требования к мощности оборудования участников. Потребители розничного (а иногда и оптового) рынка на индивидуальном уровне не удовлетворяют таким требованиям. Непосредственное взаимодействие малых и средних потребителей и заинтересованных инфраструктурных организаций (таких как системный оператор) остается нецелесообразным, поскольку затраты на такое взаимодействие слишком высоки относительно малого объема разгрузки, предоставляемого этими потребителями. Поэтому распространение механизмов управления спросом на розничных потребителей требует решения, позволяющего избежать полноценного участия розничного потребителя в работе оптового рынка и непосредственного взаимодействия с инфраструктурными организациями. Вариантом такого решения может быть создание специализированных организаций – агрегаторов нагрузки. Агрегаторы нагрузки – это поставщики товаров и услуг на оптовом рынке электроэнергии, которые управляют (непосредственно или опосредованно) оборудованием группы потребителей, чтобы продавать совокупность регулировочных способностей потребителей как единый объект на рынке. Агрегаторы выполняют коммерческую функцию объединения распределенных ресурсов управления спросом для продажи товаров и услуг на рынке электроэнергии, выступая в качестве посредников между потребителями, предоставляющими свои возможности по изменению потребления, и покупателями продуктов управления спросом. Агрегаторы приобретают у промышленных, коммерческих и бытовых потребителей услуги по снижению нагрузки по уведомлению. Они выявляют и получают ресурс управления спросом потребителей и обеспечивают их совместное участие на рынке [43]. </w:t>
      </w:r>
    </w:p>
    <w:p w14:paraId="3116C33C"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lastRenderedPageBreak/>
        <w:t xml:space="preserve">Агрегаторы объединяют многих потребителей с различными характеристиками, обеспечивая соответствие требованиям рынка и резервирование отдельного взятого потребителя как части агрегированного объекта, что повышает общую надежность и снижает риск для отдельных потребителей [44, 45]. Например, если потребитель может обеспечить разгрузку только 8 раз за период действия программы управления спросом, в то время как требования этой программы предусматривают 20 разгрузок, то в отсутствие агрегатора ресурс управления спросом этого потребителя останется неиспользованным. Если агрегатор может объединить этот ресурс с ресурсами других потребителей, он может предоставить их мощность в соответствии с требованиями рынка, обеспечивая учет потребностей потребителя [46]. Агрегирование может достигать уровня эффективности, достаточного для удовлетворения требований, предъявляемых в различных сегментах рынка, и может обеспечить характеристики, соответствующие генерации и даже превосходящие их. Одно из ключевых преимуществ агрегации – это распределенный характер агрегированной нагрузки, что обеспечивает поставку агрегатором заявленного объема разгрузки даже если отдельные потребители не исполнили своих обязательств (агрегатор никогда не заявляет на рынке полный объем разгрузки агрегированной нагрузки, например, при наличии совокупности потребителей, готовых разгрузиться на 100 МВт, он заявит на рынке 70-80 МВт, что гарантирует надежное исполнение обязательств). </w:t>
      </w:r>
    </w:p>
    <w:p w14:paraId="514CA232" w14:textId="77777777" w:rsidR="00EB26EF" w:rsidRPr="00EB26EF" w:rsidRDefault="00EB26EF" w:rsidP="00EB26EF">
      <w:pPr>
        <w:spacing w:line="360" w:lineRule="auto"/>
        <w:jc w:val="both"/>
        <w:rPr>
          <w:rFonts w:ascii="Times New Roman" w:hAnsi="Times New Roman" w:cs="Times New Roman"/>
          <w:bCs/>
          <w:sz w:val="28"/>
          <w:szCs w:val="28"/>
        </w:rPr>
      </w:pPr>
      <w:r w:rsidRPr="00EB26EF">
        <w:rPr>
          <w:rFonts w:ascii="Times New Roman" w:hAnsi="Times New Roman" w:cs="Times New Roman"/>
          <w:bCs/>
          <w:sz w:val="28"/>
          <w:szCs w:val="28"/>
        </w:rPr>
        <w:tab/>
        <w:t>Таким образом, разработанная нами методика состоит из четырех последовательных этапов, результатом которых является отнесение компании к одному из пяти «уровней зрелости»:</w:t>
      </w:r>
    </w:p>
    <w:p w14:paraId="03F74A5C"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xml:space="preserve">- уровень I. </w:t>
      </w:r>
      <w:r w:rsidRPr="00EB26EF">
        <w:rPr>
          <w:rFonts w:ascii="Times New Roman" w:hAnsi="Times New Roman" w:cs="Times New Roman"/>
          <w:bCs/>
          <w:sz w:val="28"/>
          <w:szCs w:val="28"/>
        </w:rPr>
        <w:t>«</w:t>
      </w:r>
      <w:r w:rsidRPr="00EB26EF">
        <w:rPr>
          <w:rFonts w:ascii="Times New Roman" w:hAnsi="Times New Roman" w:cs="Times New Roman"/>
          <w:sz w:val="28"/>
          <w:szCs w:val="28"/>
        </w:rPr>
        <w:t>пассивный потребитель» – наличие только технологий управления режимом энергопотребления. Управление режимом энергопотребления не осуществляется или осуществляется в ручном режиме, собственная генерация и накопители электроэнергии отсутствуют;</w:t>
      </w:r>
    </w:p>
    <w:p w14:paraId="40EC5801"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lastRenderedPageBreak/>
        <w:t>- уровень II. «пассивный потребитель» – имеются технологии, позволяющие управлять режимом энергопотребления, а также технологии распределенной генерации. Снижение нагрузки в пиковые часы рынком не рассматривается как альтернатива загрузке резервной/пиковой генерации и рынком не оплачивается. Распределенная генерация осуществляет работу только в режиме выработки электроэнергии. Отсутствует возможность продажи электроэнергии на рынок. Технологии накопления электроэнергии отсутствуют;</w:t>
      </w:r>
    </w:p>
    <w:p w14:paraId="45F8FB20"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уровень III. «условно – активный потребитель» – имеются технологии, позволяющие управлять режимом энергопотребления, а также технологии распределенной генерации. Снижение нагрузки в пиковые часы рынком не рассматривается как альтернатива загрузке резервной/пиковой генерации и рынком не оплачивается. Распределенная генерация осуществляет работу только в режиме выработки электроэнергии. Имеется возможность продажи электроэнергии на рынок. Технологии накопления электроэнергии отсутствуют;</w:t>
      </w:r>
    </w:p>
    <w:p w14:paraId="7BC6CF84"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уровень IV. «активный потребитель» – имеются технологии, позволяющие управлять режимом энергопотребления, а также технологии распределенной генерации. Формируется стратегия энергопотребления. Автоматическое включение/отключение электроприборов, перенесение нагрузки во времени. Определяется стратегия загрузки собственной генерации: объем потребления от нее и объем выдачи электроэнергии в сеть. Зарядка, продажа электроэнергии в сеть или собственное потребление электроэнергии;</w:t>
      </w:r>
    </w:p>
    <w:p w14:paraId="1513F371" w14:textId="77777777" w:rsidR="00EB26EF" w:rsidRPr="00EB26EF" w:rsidRDefault="00EB26EF" w:rsidP="00EB26EF">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t>- уровень V. «активный потребитель» – имеются все виды технологий ИЭС: управление режимом энергопотребления, собственная генерация, накопители электроэнергии. Автоматическое отключение при участии в программах прерывания, перенесение нагрузки с получением соответствующей оплаты. Определяется стратегия загрузки собственной генерации: объем потребления от нее и объем выдачи электроэнергии в сеть. Зарядка, продажа электроэнергии в сеть или собственное потребление электроэнергии.</w:t>
      </w:r>
    </w:p>
    <w:p w14:paraId="396EEC86" w14:textId="77777777" w:rsidR="000843A8" w:rsidRPr="00776EE9" w:rsidRDefault="00EB26EF" w:rsidP="00776EE9">
      <w:pPr>
        <w:spacing w:line="360" w:lineRule="auto"/>
        <w:jc w:val="both"/>
        <w:rPr>
          <w:rFonts w:ascii="Times New Roman" w:hAnsi="Times New Roman" w:cs="Times New Roman"/>
          <w:sz w:val="28"/>
          <w:szCs w:val="28"/>
        </w:rPr>
      </w:pPr>
      <w:r w:rsidRPr="00EB26EF">
        <w:rPr>
          <w:rFonts w:ascii="Times New Roman" w:hAnsi="Times New Roman" w:cs="Times New Roman"/>
          <w:sz w:val="28"/>
          <w:szCs w:val="28"/>
        </w:rPr>
        <w:lastRenderedPageBreak/>
        <w:tab/>
        <w:t>Сделан вывод, что на российской электроэнергетическом рынке большинство компаний – потребителей находятся на втором «уровне зрелости» - пассивный потребитель. Для перехода к третьему уровню зрелости необходимы пассивные методы вовлечения потребителей в цепочку создания ценности (управление спросом на электроэнергию): техническое регулирование, создание агрегаторов.</w:t>
      </w:r>
    </w:p>
    <w:sectPr w:rsidR="000843A8" w:rsidRPr="00776EE9" w:rsidSect="0090446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CC"/>
    <w:family w:val="roman"/>
    <w:pitch w:val="variable"/>
    <w:sig w:usb0="E00006FF" w:usb1="400004FF" w:usb2="00000000" w:usb3="00000000" w:csb0="0000019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3C0"/>
    <w:multiLevelType w:val="hybridMultilevel"/>
    <w:tmpl w:val="A77A8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46FF8"/>
    <w:multiLevelType w:val="hybridMultilevel"/>
    <w:tmpl w:val="0AFCCDCC"/>
    <w:lvl w:ilvl="0" w:tplc="81926408">
      <w:start w:val="370"/>
      <w:numFmt w:val="bullet"/>
      <w:lvlText w:val="-"/>
      <w:lvlJc w:val="left"/>
      <w:pPr>
        <w:ind w:left="1768" w:hanging="10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CFC7ECF"/>
    <w:multiLevelType w:val="hybridMultilevel"/>
    <w:tmpl w:val="48622B96"/>
    <w:lvl w:ilvl="0" w:tplc="852C619E">
      <w:start w:val="4"/>
      <w:numFmt w:val="bullet"/>
      <w:lvlText w:val="-"/>
      <w:lvlJc w:val="left"/>
      <w:pPr>
        <w:ind w:left="114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868" w:hanging="360"/>
      </w:pPr>
      <w:rPr>
        <w:rFonts w:ascii="Courier New" w:hAnsi="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 w15:restartNumberingAfterBreak="0">
    <w:nsid w:val="301960AC"/>
    <w:multiLevelType w:val="multilevel"/>
    <w:tmpl w:val="188CF128"/>
    <w:lvl w:ilvl="0">
      <w:start w:val="1"/>
      <w:numFmt w:val="decimal"/>
      <w:lvlText w:val="%1."/>
      <w:lvlJc w:val="left"/>
      <w:pPr>
        <w:ind w:left="1808" w:hanging="110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ED"/>
    <w:rsid w:val="00074369"/>
    <w:rsid w:val="000843A8"/>
    <w:rsid w:val="004246D1"/>
    <w:rsid w:val="0070494F"/>
    <w:rsid w:val="00776EE9"/>
    <w:rsid w:val="00784FC9"/>
    <w:rsid w:val="0090446A"/>
    <w:rsid w:val="00A32540"/>
    <w:rsid w:val="00B106F0"/>
    <w:rsid w:val="00E304ED"/>
    <w:rsid w:val="00EB26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2DCD0"/>
  <w14:defaultImageDpi w14:val="300"/>
  <w15:docId w15:val="{92ADC306-E3D9-416F-BE68-2720AE03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3A8"/>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0843A8"/>
    <w:rPr>
      <w:rFonts w:ascii="Lucida Grande CY" w:hAnsi="Lucida Grande CY" w:cs="Lucida Grande CY"/>
      <w:sz w:val="18"/>
      <w:szCs w:val="18"/>
    </w:rPr>
  </w:style>
  <w:style w:type="paragraph" w:styleId="a6">
    <w:name w:val="List Paragraph"/>
    <w:aliases w:val="Надпись к иллюстрации,Bullet List,FooterText,numbered,Paragraphe de liste1,lp1"/>
    <w:basedOn w:val="a"/>
    <w:link w:val="a7"/>
    <w:uiPriority w:val="34"/>
    <w:qFormat/>
    <w:rsid w:val="00776EE9"/>
    <w:pPr>
      <w:ind w:left="720"/>
      <w:contextualSpacing/>
    </w:pPr>
  </w:style>
  <w:style w:type="character" w:customStyle="1" w:styleId="a7">
    <w:name w:val="Абзац списка Знак"/>
    <w:aliases w:val="Надпись к иллюстрации Знак,Bullet List Знак,FooterText Знак,numbered Знак,Paragraphe de liste1 Знак,lp1 Знак"/>
    <w:link w:val="a6"/>
    <w:uiPriority w:val="34"/>
    <w:locked/>
    <w:rsid w:val="00B1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6571">
      <w:bodyDiv w:val="1"/>
      <w:marLeft w:val="0"/>
      <w:marRight w:val="0"/>
      <w:marTop w:val="0"/>
      <w:marBottom w:val="0"/>
      <w:divBdr>
        <w:top w:val="none" w:sz="0" w:space="0" w:color="auto"/>
        <w:left w:val="none" w:sz="0" w:space="0" w:color="auto"/>
        <w:bottom w:val="none" w:sz="0" w:space="0" w:color="auto"/>
        <w:right w:val="none" w:sz="0" w:space="0" w:color="auto"/>
      </w:divBdr>
    </w:div>
    <w:div w:id="1412851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C210C-820E-425B-9A91-8A72EE61DF26}"/>
</file>

<file path=customXml/itemProps2.xml><?xml version="1.0" encoding="utf-8"?>
<ds:datastoreItem xmlns:ds="http://schemas.openxmlformats.org/officeDocument/2006/customXml" ds:itemID="{AAF0BC91-AFA0-424A-919D-94F8682335E8}"/>
</file>

<file path=customXml/itemProps3.xml><?xml version="1.0" encoding="utf-8"?>
<ds:datastoreItem xmlns:ds="http://schemas.openxmlformats.org/officeDocument/2006/customXml" ds:itemID="{4ABCF742-7B78-47C8-9DBF-B0E6F93ED38F}"/>
</file>

<file path=docProps/app.xml><?xml version="1.0" encoding="utf-8"?>
<Properties xmlns="http://schemas.openxmlformats.org/officeDocument/2006/extended-properties" xmlns:vt="http://schemas.openxmlformats.org/officeDocument/2006/docPropsVTypes">
  <Template>Normal.dotm</Template>
  <TotalTime>4</TotalTime>
  <Pages>13</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Методика оценки готовности компаний к внедрению технологий интеллектуальных сетей и технологий Internet of Energy (рекламно-техническое описание)</dc:title>
  <dc:subject/>
  <dc:creator>NATALIE LINDER</dc:creator>
  <cp:keywords/>
  <dc:description/>
  <cp:lastModifiedBy>Наталия Денисова</cp:lastModifiedBy>
  <cp:revision>3</cp:revision>
  <dcterms:created xsi:type="dcterms:W3CDTF">2019-05-07T13:05:00Z</dcterms:created>
  <dcterms:modified xsi:type="dcterms:W3CDTF">2019-05-07T14:23:00Z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