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Направление подготовки: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uto" w:line="360"/>
        <w:ind w:right="675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 xml:space="preserve">Финансовые рынки и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банки</w:t>
      </w:r>
      <w:r>
        <w:rPr>
          <w:rFonts w:eastAsia="Times New Roman" w:cs="Times New Roman" w:ascii="Times New Roman" w:hAnsi="Times New Roman"/>
          <w:color w:val="000000"/>
          <w:szCs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ДЭФР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40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8823382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LibreOffice/7.0.6.2$Linux_X86_64 LibreOffice_project/00$Build-2</Application>
  <AppVersion>15.0000</AppVersion>
  <Pages>9</Pages>
  <Words>388</Words>
  <Characters>3014</Characters>
  <CharactersWithSpaces>3563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2025-03-31T11:30:49Z</dcterms:modified>
  <cp:revision>15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