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коллективной</w:t>
        <w:br/>
        <w:t>выпускной квалификационной работы по программ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Институт открытого образования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банки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коллективной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Коллективная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 xml:space="preserve">ихся: 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8159027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2</Pages>
  <Words>236</Words>
  <Characters>4855</Characters>
  <CharactersWithSpaces>5160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dc:description/>
  <dc:language>ru-RU</dc:language>
  <cp:lastModifiedBy/>
  <dcterms:modified xsi:type="dcterms:W3CDTF">2025-03-10T16:35:04Z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