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ВКР по программе бакалавриата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384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1" w:right="27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(фамилия имя отчество)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280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факультет______________________________________________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Кафедра _______________________________________________________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1" w:right="68" w:hanging="1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(название кафедры)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Профиль____________________________________________________________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" w:right="6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     (имя отчество фамилия, должность, ученое звание, ученая степень)</w:t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Актуальность темы, полнота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eastAsia="Times New Roman" w:hAnsi="Times New Roman" w:cs="Times New Roman"/>
          <w:sz w:val="28"/>
          <w:szCs w:val="28"/>
        </w:rPr>
        <w:t>по теме исследования: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38" w:rsidRDefault="00EC0338" w:rsidP="00EC0338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Недостатки в работе обучающегося в период подготовки ВКР: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EC0338" w:rsidRDefault="00EC0338" w:rsidP="00EC0338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EC0338" w:rsidTr="000A4645">
        <w:trPr>
          <w:cantSplit/>
          <w:trHeight w:val="413"/>
          <w:jc w:val="center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EC0338" w:rsidRDefault="00EC0338" w:rsidP="000A4645">
            <w:pPr>
              <w:widowControl w:val="0"/>
              <w:suppressLineNumbers/>
              <w:tabs>
                <w:tab w:val="left" w:pos="254"/>
              </w:tabs>
              <w:spacing w:after="15" w:line="240" w:lineRule="auto"/>
              <w:ind w:left="254" w:right="6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0338" w:rsidTr="000A4645">
        <w:trPr>
          <w:cantSplit/>
          <w:trHeight w:val="360"/>
          <w:jc w:val="center"/>
        </w:trPr>
        <w:tc>
          <w:tcPr>
            <w:tcW w:w="10065" w:type="dxa"/>
            <w:tcBorders>
              <w:top w:val="single" w:sz="4" w:space="0" w:color="000000"/>
            </w:tcBorders>
          </w:tcPr>
          <w:p w:rsidR="00EC0338" w:rsidRDefault="00EC0338" w:rsidP="000A4645">
            <w:pPr>
              <w:widowControl w:val="0"/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«___»_____________ 20__ г.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br w:type="page"/>
      </w:r>
    </w:p>
    <w:p w:rsidR="00EC0338" w:rsidRDefault="00EC0338" w:rsidP="00EC0338">
      <w:pPr>
        <w:widowControl w:val="0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" w:right="69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ОЦЕНКА СФОРМИРОВАННОСТИ КОМПЕТЕНЦИЙ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направлению подготовки 38.03.01 «Экономика», ОП «Экономика и финансы», Профиль: «Финансы и управление финансовыми активами»</w:t>
      </w:r>
    </w:p>
    <w:p w:rsidR="00EC0338" w:rsidRDefault="00EC0338" w:rsidP="00EC0338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410"/>
        <w:gridCol w:w="5845"/>
        <w:gridCol w:w="2090"/>
      </w:tblGrid>
      <w:tr w:rsidR="00EC0338" w:rsidTr="000A4645">
        <w:trPr>
          <w:trHeight w:val="1375"/>
        </w:trPr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Код компетенции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Наименование компетенции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Уровень сформированности (пороговый – «3», продвинутый – «4», высокий – «5»)</w:t>
            </w:r>
          </w:p>
        </w:tc>
      </w:tr>
      <w:tr w:rsidR="00EC0338" w:rsidTr="000A4645">
        <w:tc>
          <w:tcPr>
            <w:tcW w:w="1450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3</w:t>
            </w: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  происходящих процессов и закономерностей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УК-2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УК-3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применять знания иностранного языка на уровне, достаточном для межличностного общения, учебной и профессиональной деятельности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УК-4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sz w:val="22"/>
              </w:rPr>
              <w:t>Способность использовать прикладное программное обеспечение при решении профессиональных задач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УК-5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УК-6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УК-7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УК-8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УК-9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УК-10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rPr>
          <w:trHeight w:val="599"/>
        </w:trPr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УК-11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rPr>
          <w:trHeight w:val="849"/>
        </w:trPr>
        <w:tc>
          <w:tcPr>
            <w:tcW w:w="1450" w:type="dxa"/>
            <w:vAlign w:val="center"/>
          </w:tcPr>
          <w:p w:rsidR="00EC0338" w:rsidRDefault="00EC0338" w:rsidP="000A4645">
            <w:pPr>
              <w:pStyle w:val="a3"/>
              <w:widowControl w:val="0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УК-12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pStyle w:val="a3"/>
              <w:widowControl w:val="0"/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УК-13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УК-14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Способность формировать нетерпимое отношение к проявлениям экстремизма, терроризма, коррупционному поведению, попыткам фальсификации истории и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противодействовать им в профессиональной деятельности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УК-15</w:t>
            </w:r>
          </w:p>
        </w:tc>
        <w:tc>
          <w:tcPr>
            <w:tcW w:w="6035" w:type="dxa"/>
            <w:vAlign w:val="center"/>
          </w:tcPr>
          <w:p w:rsidR="00EC0338" w:rsidRDefault="00EC0338" w:rsidP="000A464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Способность релевантно 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</w:t>
            </w:r>
          </w:p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(для обучающихся приема 2022 года и.т.д.)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ПКН-1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ПКН-2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Способность на основе существующих методик, нормативно-правовой базы рассчитывать финансово-экономические показатели,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ПКН-3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Способность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осуществлять сбор, обработку и статистический анализ данных, прим</w:t>
            </w:r>
            <w:r>
              <w:rPr>
                <w:rFonts w:ascii="Times New Roman" w:hAnsi="Times New Roman" w:cs="Times New Roman"/>
                <w:sz w:val="22"/>
              </w:rPr>
              <w:t>енять математические методы для решения стандартных профессиональных финансово-экономических задач, интерпретировать полученные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результаты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ПКН-4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ПКН-5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составлять и анализировать   финансовую, 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ПКН-6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ПКН-7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sz w:val="22"/>
              </w:rPr>
              <w:t xml:space="preserve">Способность применять знания для </w:t>
            </w:r>
            <w:r>
              <w:rPr>
                <w:rFonts w:ascii="Times New Roman" w:hAnsi="Times New Roman" w:cs="Times New Roman"/>
                <w:sz w:val="22"/>
              </w:rPr>
              <w:t>просветительской деятельности в области основ экономических знаний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ПКП-1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2"/>
              </w:rPr>
              <w:t>Способность собирать и обобщать данные, необходимые для характеристики состояния общественных, корпоративных и личных финансов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ПКП-2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2"/>
              </w:rPr>
              <w:t>Способность выбирать и использовать оптимальные методы управления финансовыми активами публично-правовых образований, корпораций и домашних хозяйств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0338" w:rsidTr="000A4645">
        <w:tc>
          <w:tcPr>
            <w:tcW w:w="1450" w:type="dxa"/>
            <w:vAlign w:val="center"/>
          </w:tcPr>
          <w:p w:rsidR="00EC0338" w:rsidRDefault="00EC0338" w:rsidP="000A4645">
            <w:pPr>
              <w:widowControl w:val="0"/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ПКП-3</w:t>
            </w:r>
          </w:p>
        </w:tc>
        <w:tc>
          <w:tcPr>
            <w:tcW w:w="6035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2"/>
              </w:rPr>
              <w:t>Способность оценивать показатели проектов бюджетов, финансовых планов и отчетов об их исполнении, использовать результаты оценки в ходе разработки предложений по развитию и управлению общественными, корпоративными и личными финансами</w:t>
            </w:r>
          </w:p>
        </w:tc>
        <w:tc>
          <w:tcPr>
            <w:tcW w:w="2153" w:type="dxa"/>
          </w:tcPr>
          <w:p w:rsidR="00EC0338" w:rsidRDefault="00EC0338" w:rsidP="000A464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C0338" w:rsidRDefault="00EC0338">
      <w:bookmarkStart w:id="0" w:name="_GoBack"/>
      <w:bookmarkEnd w:id="0"/>
    </w:p>
    <w:sectPr w:rsidR="00EC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38"/>
    <w:rsid w:val="00E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3955-6732-4C9B-8100-F58C8D8D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338"/>
    <w:pPr>
      <w:suppressAutoHyphens/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338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EC0338"/>
    <w:pPr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EC033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Буздалина Ольга Борисовна</dc:creator>
  <cp:keywords/>
  <dc:description/>
  <cp:lastModifiedBy>Буздалина Ольга Борисовна</cp:lastModifiedBy>
  <cp:revision>1</cp:revision>
  <dcterms:created xsi:type="dcterms:W3CDTF">2024-05-25T17:44:00Z</dcterms:created>
  <dcterms:modified xsi:type="dcterms:W3CDTF">2024-05-25T17:44:00Z</dcterms:modified>
</cp:coreProperties>
</file>